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C275D">
      <w:pPr>
        <w:keepNext w:val="0"/>
        <w:keepLines w:val="0"/>
        <w:pageBreakBefore w:val="0"/>
        <w:kinsoku/>
        <w:overflowPunct/>
        <w:topLinePunct w:val="0"/>
        <w:bidi w:val="0"/>
        <w:snapToGrid/>
        <w:spacing w:line="600" w:lineRule="exact"/>
        <w:ind w:left="0"/>
        <w:jc w:val="center"/>
        <w:textAlignment w:val="auto"/>
        <w:rPr>
          <w:rFonts w:hint="eastAsia" w:ascii="仿宋_GB2312" w:hAnsi="仿宋_GB2312" w:eastAsia="仿宋_GB2312" w:cs="仿宋_GB2312"/>
          <w:color w:val="auto"/>
          <w:sz w:val="44"/>
          <w:szCs w:val="32"/>
          <w:highlight w:val="none"/>
        </w:rPr>
      </w:pPr>
      <w:r>
        <w:rPr>
          <w:rFonts w:hint="eastAsia" w:ascii="仿宋_GB2312" w:hAnsi="仿宋_GB2312" w:eastAsia="仿宋_GB2312" w:cs="仿宋_GB2312"/>
          <w:color w:val="auto"/>
          <w:sz w:val="44"/>
          <w:szCs w:val="32"/>
          <w:highlight w:val="none"/>
        </w:rPr>
        <w:t>团体标准《甘蔗抗倒伏评价技术规程》</w:t>
      </w:r>
    </w:p>
    <w:p w14:paraId="67EFCAD8">
      <w:pPr>
        <w:keepNext w:val="0"/>
        <w:keepLines w:val="0"/>
        <w:pageBreakBefore w:val="0"/>
        <w:kinsoku/>
        <w:overflowPunct/>
        <w:topLinePunct w:val="0"/>
        <w:bidi w:val="0"/>
        <w:snapToGrid/>
        <w:spacing w:line="600" w:lineRule="exact"/>
        <w:ind w:left="0"/>
        <w:jc w:val="center"/>
        <w:textAlignment w:val="auto"/>
        <w:rPr>
          <w:rFonts w:hint="eastAsia" w:ascii="仿宋_GB2312" w:hAnsi="仿宋_GB2312" w:eastAsia="仿宋_GB2312" w:cs="仿宋_GB2312"/>
          <w:color w:val="auto"/>
          <w:sz w:val="44"/>
          <w:szCs w:val="32"/>
          <w:highlight w:val="none"/>
        </w:rPr>
      </w:pPr>
      <w:r>
        <w:rPr>
          <w:rFonts w:hint="eastAsia" w:ascii="仿宋_GB2312" w:hAnsi="仿宋_GB2312" w:eastAsia="仿宋_GB2312" w:cs="仿宋_GB2312"/>
          <w:color w:val="auto"/>
          <w:sz w:val="44"/>
          <w:szCs w:val="32"/>
          <w:highlight w:val="none"/>
        </w:rPr>
        <w:t>（征求意见稿）编制说明</w:t>
      </w:r>
    </w:p>
    <w:p w14:paraId="7545AED6">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textAlignment w:val="auto"/>
        <w:rPr>
          <w:rFonts w:hint="eastAsia" w:ascii="仿宋_GB2312" w:hAnsi="仿宋_GB2312" w:eastAsia="仿宋_GB2312" w:cs="仿宋_GB2312"/>
          <w:color w:val="auto"/>
          <w:sz w:val="32"/>
          <w:szCs w:val="32"/>
          <w:highlight w:val="none"/>
        </w:rPr>
      </w:pPr>
    </w:p>
    <w:p w14:paraId="0D5136F0">
      <w:pPr>
        <w:keepNext w:val="0"/>
        <w:keepLines w:val="0"/>
        <w:pageBreakBefore w:val="0"/>
        <w:kinsoku/>
        <w:overflowPunct/>
        <w:topLinePunct w:val="0"/>
        <w:autoSpaceDE w:val="0"/>
        <w:autoSpaceDN w:val="0"/>
        <w:bidi w:val="0"/>
        <w:adjustRightInd w:val="0"/>
        <w:snapToGrid/>
        <w:spacing w:line="560" w:lineRule="exact"/>
        <w:ind w:left="0"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一、任务来源、起草单位、主要起草人</w:t>
      </w:r>
    </w:p>
    <w:p w14:paraId="7FB55DF0">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根据《广西标准化协会关于下达20</w:t>
      </w:r>
      <w:r>
        <w:rPr>
          <w:rFonts w:hint="eastAsia" w:ascii="仿宋_GB2312" w:hAnsi="仿宋_GB2312" w:eastAsia="仿宋_GB2312" w:cs="仿宋_GB2312"/>
          <w:color w:val="auto"/>
          <w:sz w:val="32"/>
          <w:szCs w:val="28"/>
          <w:highlight w:val="none"/>
          <w:lang w:val="en-US" w:eastAsia="zh-CN"/>
        </w:rPr>
        <w:t>25</w:t>
      </w:r>
      <w:r>
        <w:rPr>
          <w:rFonts w:hint="eastAsia" w:ascii="仿宋_GB2312" w:hAnsi="仿宋_GB2312" w:eastAsia="仿宋_GB2312" w:cs="仿宋_GB2312"/>
          <w:color w:val="auto"/>
          <w:sz w:val="32"/>
          <w:szCs w:val="28"/>
          <w:highlight w:val="none"/>
        </w:rPr>
        <w:t>年第</w:t>
      </w:r>
      <w:r>
        <w:rPr>
          <w:rFonts w:hint="eastAsia" w:ascii="仿宋_GB2312" w:hAnsi="仿宋_GB2312" w:cs="仿宋_GB2312"/>
          <w:color w:val="auto"/>
          <w:sz w:val="32"/>
          <w:szCs w:val="28"/>
          <w:highlight w:val="none"/>
          <w:lang w:val="en-US" w:eastAsia="zh-CN"/>
        </w:rPr>
        <w:t>四十三</w:t>
      </w:r>
      <w:r>
        <w:rPr>
          <w:rFonts w:hint="eastAsia" w:ascii="仿宋_GB2312" w:hAnsi="仿宋_GB2312" w:eastAsia="仿宋_GB2312" w:cs="仿宋_GB2312"/>
          <w:color w:val="auto"/>
          <w:sz w:val="32"/>
          <w:szCs w:val="28"/>
          <w:highlight w:val="none"/>
        </w:rPr>
        <w:t>批团体标准制修订项目计划的通知》（桂标协〔20</w:t>
      </w:r>
      <w:r>
        <w:rPr>
          <w:rFonts w:hint="eastAsia" w:ascii="仿宋_GB2312" w:hAnsi="仿宋_GB2312" w:eastAsia="仿宋_GB2312" w:cs="仿宋_GB2312"/>
          <w:color w:val="auto"/>
          <w:sz w:val="32"/>
          <w:szCs w:val="28"/>
          <w:highlight w:val="none"/>
          <w:lang w:val="en-US" w:eastAsia="zh-CN"/>
        </w:rPr>
        <w:t>25</w:t>
      </w:r>
      <w:r>
        <w:rPr>
          <w:rFonts w:hint="eastAsia" w:ascii="仿宋_GB2312" w:hAnsi="仿宋_GB2312" w:eastAsia="仿宋_GB2312" w:cs="仿宋_GB2312"/>
          <w:color w:val="auto"/>
          <w:sz w:val="32"/>
          <w:szCs w:val="28"/>
          <w:highlight w:val="none"/>
        </w:rPr>
        <w:t>〕</w:t>
      </w:r>
      <w:r>
        <w:rPr>
          <w:rFonts w:hint="eastAsia" w:ascii="仿宋_GB2312" w:hAnsi="仿宋_GB2312" w:cs="仿宋_GB2312"/>
          <w:color w:val="auto"/>
          <w:sz w:val="32"/>
          <w:szCs w:val="28"/>
          <w:highlight w:val="none"/>
          <w:lang w:val="en-US" w:eastAsia="zh-CN"/>
        </w:rPr>
        <w:t>396</w:t>
      </w:r>
      <w:r>
        <w:rPr>
          <w:rFonts w:hint="eastAsia" w:ascii="仿宋_GB2312" w:hAnsi="仿宋_GB2312" w:eastAsia="仿宋_GB2312" w:cs="仿宋_GB2312"/>
          <w:color w:val="auto"/>
          <w:sz w:val="32"/>
          <w:szCs w:val="28"/>
          <w:highlight w:val="none"/>
        </w:rPr>
        <w:t>号）文件精神，由广西壮族自治区农业科学院提出，广西壮族自治区农业科学院、广西壮族自治区亚热带作物研究所、百色市农业科学研究所等单位共同起草的团体标准《甘蔗抗倒伏评价技术规程》（项目编号：20</w:t>
      </w:r>
      <w:r>
        <w:rPr>
          <w:rFonts w:hint="eastAsia" w:ascii="仿宋_GB2312" w:hAnsi="仿宋_GB2312" w:eastAsia="仿宋_GB2312" w:cs="仿宋_GB2312"/>
          <w:color w:val="auto"/>
          <w:sz w:val="32"/>
          <w:szCs w:val="28"/>
          <w:highlight w:val="none"/>
          <w:lang w:val="en-US" w:eastAsia="zh-CN"/>
        </w:rPr>
        <w:t>25</w:t>
      </w:r>
      <w:r>
        <w:rPr>
          <w:rFonts w:hint="eastAsia" w:ascii="仿宋_GB2312" w:hAnsi="仿宋_GB2312" w:eastAsia="仿宋_GB2312" w:cs="仿宋_GB2312"/>
          <w:color w:val="auto"/>
          <w:sz w:val="32"/>
          <w:szCs w:val="28"/>
          <w:highlight w:val="none"/>
        </w:rPr>
        <w:t>-</w:t>
      </w:r>
      <w:r>
        <w:rPr>
          <w:rFonts w:hint="eastAsia" w:ascii="仿宋_GB2312" w:hAnsi="仿宋_GB2312" w:cs="仿宋_GB2312"/>
          <w:color w:val="auto"/>
          <w:sz w:val="32"/>
          <w:szCs w:val="28"/>
          <w:highlight w:val="none"/>
          <w:lang w:val="en-US" w:eastAsia="zh-CN"/>
        </w:rPr>
        <w:t>4317</w:t>
      </w:r>
      <w:r>
        <w:rPr>
          <w:rFonts w:hint="eastAsia" w:ascii="仿宋_GB2312" w:hAnsi="仿宋_GB2312" w:eastAsia="仿宋_GB2312" w:cs="仿宋_GB2312"/>
          <w:color w:val="auto"/>
          <w:sz w:val="32"/>
          <w:szCs w:val="28"/>
          <w:highlight w:val="none"/>
        </w:rPr>
        <w:t>）已获批立项。</w:t>
      </w:r>
    </w:p>
    <w:p w14:paraId="57B25D4D">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为高质量编制团体标准《甘蔗抗倒伏评价技术规程》，由起草单位成立标准编制工作组并进行如下分工：</w:t>
      </w:r>
    </w:p>
    <w:tbl>
      <w:tblPr>
        <w:tblStyle w:val="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475"/>
        <w:gridCol w:w="2070"/>
        <w:gridCol w:w="2787"/>
        <w:gridCol w:w="1695"/>
      </w:tblGrid>
      <w:tr w14:paraId="0F285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0" w:hRule="atLeast"/>
          <w:jc w:val="center"/>
        </w:trPr>
        <w:tc>
          <w:tcPr>
            <w:tcW w:w="625" w:type="pct"/>
            <w:tcBorders>
              <w:top w:val="single" w:color="auto" w:sz="8" w:space="0"/>
              <w:bottom w:val="single" w:color="auto" w:sz="8" w:space="0"/>
            </w:tcBorders>
            <w:noWrap w:val="0"/>
            <w:vAlign w:val="center"/>
          </w:tcPr>
          <w:p w14:paraId="6FAF63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b/>
                <w:sz w:val="24"/>
              </w:rPr>
            </w:pPr>
            <w:r>
              <w:rPr>
                <w:rFonts w:hint="eastAsia" w:ascii="仿宋_GB2312" w:hAnsi="Times New Roman" w:eastAsia="仿宋_GB2312"/>
                <w:b/>
                <w:sz w:val="24"/>
              </w:rPr>
              <w:t>姓名</w:t>
            </w:r>
          </w:p>
        </w:tc>
        <w:tc>
          <w:tcPr>
            <w:tcW w:w="804" w:type="pct"/>
            <w:tcBorders>
              <w:top w:val="single" w:color="auto" w:sz="8" w:space="0"/>
              <w:bottom w:val="single" w:color="auto" w:sz="8" w:space="0"/>
            </w:tcBorders>
            <w:noWrap w:val="0"/>
            <w:vAlign w:val="center"/>
          </w:tcPr>
          <w:p w14:paraId="2FB874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b/>
                <w:sz w:val="24"/>
              </w:rPr>
            </w:pPr>
            <w:r>
              <w:rPr>
                <w:rFonts w:hint="eastAsia" w:ascii="仿宋_GB2312" w:hAnsi="Times New Roman" w:eastAsia="仿宋_GB2312"/>
                <w:b/>
                <w:sz w:val="24"/>
              </w:rPr>
              <w:t>职务/职称</w:t>
            </w:r>
          </w:p>
        </w:tc>
        <w:tc>
          <w:tcPr>
            <w:tcW w:w="1128" w:type="pct"/>
            <w:tcBorders>
              <w:top w:val="single" w:color="auto" w:sz="8" w:space="0"/>
              <w:bottom w:val="single" w:color="auto" w:sz="8" w:space="0"/>
            </w:tcBorders>
            <w:noWrap w:val="0"/>
            <w:vAlign w:val="center"/>
          </w:tcPr>
          <w:p w14:paraId="657AF6D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b/>
                <w:sz w:val="24"/>
              </w:rPr>
            </w:pPr>
            <w:r>
              <w:rPr>
                <w:rFonts w:hint="eastAsia" w:ascii="仿宋_GB2312" w:hAnsi="Times New Roman" w:eastAsia="仿宋_GB2312"/>
                <w:b/>
                <w:sz w:val="24"/>
              </w:rPr>
              <w:t>从事专业</w:t>
            </w:r>
          </w:p>
        </w:tc>
        <w:tc>
          <w:tcPr>
            <w:tcW w:w="1519" w:type="pct"/>
            <w:tcBorders>
              <w:top w:val="single" w:color="auto" w:sz="8" w:space="0"/>
              <w:bottom w:val="single" w:color="auto" w:sz="8" w:space="0"/>
            </w:tcBorders>
            <w:noWrap w:val="0"/>
            <w:vAlign w:val="center"/>
          </w:tcPr>
          <w:p w14:paraId="677D287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b/>
                <w:sz w:val="24"/>
              </w:rPr>
            </w:pPr>
            <w:r>
              <w:rPr>
                <w:rFonts w:hint="eastAsia" w:ascii="仿宋_GB2312" w:hAnsi="Times New Roman" w:eastAsia="仿宋_GB2312"/>
                <w:b/>
                <w:sz w:val="24"/>
              </w:rPr>
              <w:t>工作单位</w:t>
            </w:r>
          </w:p>
        </w:tc>
        <w:tc>
          <w:tcPr>
            <w:tcW w:w="924" w:type="pct"/>
            <w:tcBorders>
              <w:top w:val="single" w:color="auto" w:sz="8" w:space="0"/>
              <w:bottom w:val="single" w:color="auto" w:sz="8" w:space="0"/>
            </w:tcBorders>
            <w:noWrap w:val="0"/>
            <w:vAlign w:val="center"/>
          </w:tcPr>
          <w:p w14:paraId="551FB3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b/>
                <w:sz w:val="24"/>
              </w:rPr>
            </w:pPr>
            <w:r>
              <w:rPr>
                <w:rFonts w:hint="eastAsia" w:ascii="仿宋_GB2312" w:hAnsi="Times New Roman" w:eastAsia="仿宋_GB2312"/>
                <w:b/>
                <w:sz w:val="24"/>
              </w:rPr>
              <w:t>责任分工</w:t>
            </w:r>
          </w:p>
        </w:tc>
      </w:tr>
      <w:tr w14:paraId="3696D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625" w:type="pct"/>
            <w:tcBorders>
              <w:top w:val="single" w:color="auto" w:sz="8" w:space="0"/>
              <w:bottom w:val="single" w:color="auto" w:sz="8" w:space="0"/>
            </w:tcBorders>
            <w:noWrap w:val="0"/>
            <w:vAlign w:val="center"/>
          </w:tcPr>
          <w:p w14:paraId="53AF080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李毅杰</w:t>
            </w:r>
          </w:p>
        </w:tc>
        <w:tc>
          <w:tcPr>
            <w:tcW w:w="804" w:type="pct"/>
            <w:tcBorders>
              <w:top w:val="single" w:color="auto" w:sz="8" w:space="0"/>
              <w:bottom w:val="single" w:color="auto" w:sz="8" w:space="0"/>
            </w:tcBorders>
            <w:noWrap w:val="0"/>
            <w:vAlign w:val="center"/>
          </w:tcPr>
          <w:p w14:paraId="49EA26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sz w:val="24"/>
              </w:rPr>
            </w:pPr>
            <w:bookmarkStart w:id="0" w:name="OLE_LINK2"/>
            <w:r>
              <w:rPr>
                <w:rFonts w:hint="eastAsia" w:ascii="仿宋" w:hAnsi="仿宋" w:eastAsia="仿宋"/>
                <w:sz w:val="24"/>
              </w:rPr>
              <w:t>副研究员</w:t>
            </w:r>
            <w:bookmarkEnd w:id="0"/>
          </w:p>
        </w:tc>
        <w:tc>
          <w:tcPr>
            <w:tcW w:w="1128" w:type="pct"/>
            <w:tcBorders>
              <w:top w:val="single" w:color="auto" w:sz="8" w:space="0"/>
              <w:bottom w:val="single" w:color="auto" w:sz="8" w:space="0"/>
            </w:tcBorders>
            <w:noWrap w:val="0"/>
            <w:vAlign w:val="center"/>
          </w:tcPr>
          <w:p w14:paraId="74F182D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甘蔗</w:t>
            </w:r>
            <w:r>
              <w:rPr>
                <w:rFonts w:hint="eastAsia" w:ascii="仿宋" w:hAnsi="仿宋" w:eastAsia="仿宋" w:cs="微软雅黑"/>
                <w:sz w:val="24"/>
              </w:rPr>
              <w:t>栽培</w:t>
            </w:r>
          </w:p>
        </w:tc>
        <w:tc>
          <w:tcPr>
            <w:tcW w:w="1519" w:type="pct"/>
            <w:tcBorders>
              <w:top w:val="single" w:color="auto" w:sz="8" w:space="0"/>
              <w:bottom w:val="single" w:color="auto" w:sz="8" w:space="0"/>
            </w:tcBorders>
            <w:noWrap w:val="0"/>
            <w:vAlign w:val="center"/>
          </w:tcPr>
          <w:p w14:paraId="2AA1A7F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6AAEC7E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项目统筹</w:t>
            </w:r>
          </w:p>
        </w:tc>
      </w:tr>
      <w:tr w14:paraId="714804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17EAFDE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李  翔</w:t>
            </w:r>
          </w:p>
        </w:tc>
        <w:tc>
          <w:tcPr>
            <w:tcW w:w="804" w:type="pct"/>
            <w:tcBorders>
              <w:top w:val="single" w:color="auto" w:sz="8" w:space="0"/>
              <w:bottom w:val="single" w:color="auto" w:sz="8" w:space="0"/>
            </w:tcBorders>
            <w:noWrap w:val="0"/>
            <w:vAlign w:val="center"/>
          </w:tcPr>
          <w:p w14:paraId="31CDFCC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bookmarkStart w:id="1" w:name="OLE_LINK1"/>
            <w:r>
              <w:rPr>
                <w:rFonts w:hint="eastAsia" w:ascii="仿宋_GB2312" w:hAnsi="仿宋_GB2312" w:eastAsia="仿宋_GB2312" w:cs="仿宋_GB2312"/>
                <w:sz w:val="24"/>
              </w:rPr>
              <w:t>研究员</w:t>
            </w:r>
            <w:bookmarkEnd w:id="1"/>
          </w:p>
        </w:tc>
        <w:tc>
          <w:tcPr>
            <w:tcW w:w="1128" w:type="pct"/>
            <w:tcBorders>
              <w:top w:val="single" w:color="auto" w:sz="8" w:space="0"/>
              <w:bottom w:val="single" w:color="auto" w:sz="8" w:space="0"/>
            </w:tcBorders>
            <w:noWrap w:val="0"/>
            <w:vAlign w:val="center"/>
          </w:tcPr>
          <w:p w14:paraId="06401C7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甘蔗育种</w:t>
            </w:r>
          </w:p>
        </w:tc>
        <w:tc>
          <w:tcPr>
            <w:tcW w:w="1519" w:type="pct"/>
            <w:tcBorders>
              <w:top w:val="single" w:color="auto" w:sz="8" w:space="0"/>
              <w:bottom w:val="single" w:color="auto" w:sz="8" w:space="0"/>
            </w:tcBorders>
            <w:noWrap w:val="0"/>
            <w:vAlign w:val="center"/>
          </w:tcPr>
          <w:p w14:paraId="6B87F1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广西壮族自治区亚热带作物研究所</w:t>
            </w:r>
          </w:p>
        </w:tc>
        <w:tc>
          <w:tcPr>
            <w:tcW w:w="924" w:type="pct"/>
            <w:tcBorders>
              <w:top w:val="single" w:color="auto" w:sz="8" w:space="0"/>
              <w:bottom w:val="single" w:color="auto" w:sz="8" w:space="0"/>
            </w:tcBorders>
            <w:noWrap w:val="0"/>
            <w:vAlign w:val="center"/>
          </w:tcPr>
          <w:p w14:paraId="48C94BB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指导项目设计、立项申报、组织撰写、验收、发布等。</w:t>
            </w:r>
          </w:p>
        </w:tc>
      </w:tr>
      <w:tr w14:paraId="616E7D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415E995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Calibri" w:hAnsi="Calibri" w:eastAsia="宋体"/>
                <w:color w:val="000000"/>
                <w:szCs w:val="21"/>
                <w:lang w:bidi="ar"/>
              </w:rPr>
            </w:pPr>
            <w:r>
              <w:rPr>
                <w:rFonts w:hint="eastAsia" w:ascii="仿宋_GB2312" w:hAnsi="仿宋_GB2312" w:eastAsia="仿宋_GB2312" w:cs="仿宋_GB2312"/>
                <w:sz w:val="24"/>
              </w:rPr>
              <w:t>林善海</w:t>
            </w:r>
          </w:p>
        </w:tc>
        <w:tc>
          <w:tcPr>
            <w:tcW w:w="804" w:type="pct"/>
            <w:tcBorders>
              <w:top w:val="single" w:color="auto" w:sz="8" w:space="0"/>
              <w:bottom w:val="single" w:color="auto" w:sz="8" w:space="0"/>
            </w:tcBorders>
            <w:noWrap w:val="0"/>
            <w:vAlign w:val="center"/>
          </w:tcPr>
          <w:p w14:paraId="06D717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bookmarkStart w:id="2" w:name="OLE_LINK3"/>
            <w:r>
              <w:rPr>
                <w:rFonts w:hint="eastAsia" w:ascii="仿宋" w:hAnsi="仿宋" w:eastAsia="仿宋"/>
                <w:sz w:val="24"/>
              </w:rPr>
              <w:t>副研究员</w:t>
            </w:r>
            <w:bookmarkEnd w:id="2"/>
          </w:p>
        </w:tc>
        <w:tc>
          <w:tcPr>
            <w:tcW w:w="1128" w:type="pct"/>
            <w:tcBorders>
              <w:top w:val="single" w:color="auto" w:sz="8" w:space="0"/>
              <w:bottom w:val="single" w:color="auto" w:sz="8" w:space="0"/>
            </w:tcBorders>
            <w:noWrap w:val="0"/>
            <w:vAlign w:val="center"/>
          </w:tcPr>
          <w:p w14:paraId="76652F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甘蔗植保</w:t>
            </w:r>
          </w:p>
        </w:tc>
        <w:tc>
          <w:tcPr>
            <w:tcW w:w="1519" w:type="pct"/>
            <w:tcBorders>
              <w:top w:val="single" w:color="auto" w:sz="8" w:space="0"/>
              <w:bottom w:val="single" w:color="auto" w:sz="8" w:space="0"/>
            </w:tcBorders>
            <w:noWrap w:val="0"/>
            <w:vAlign w:val="center"/>
          </w:tcPr>
          <w:p w14:paraId="665D703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27F5B9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指导项目设计、立项申报、参与撰写等</w:t>
            </w:r>
          </w:p>
        </w:tc>
      </w:tr>
      <w:tr w14:paraId="342D9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625" w:type="pct"/>
            <w:tcBorders>
              <w:top w:val="single" w:color="auto" w:sz="8" w:space="0"/>
              <w:bottom w:val="single" w:color="auto" w:sz="8" w:space="0"/>
            </w:tcBorders>
            <w:noWrap w:val="0"/>
            <w:vAlign w:val="center"/>
          </w:tcPr>
          <w:p w14:paraId="1D3194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梁  强</w:t>
            </w:r>
          </w:p>
        </w:tc>
        <w:tc>
          <w:tcPr>
            <w:tcW w:w="804" w:type="pct"/>
            <w:tcBorders>
              <w:top w:val="single" w:color="auto" w:sz="8" w:space="0"/>
              <w:bottom w:val="single" w:color="auto" w:sz="8" w:space="0"/>
            </w:tcBorders>
            <w:noWrap w:val="0"/>
            <w:vAlign w:val="center"/>
          </w:tcPr>
          <w:p w14:paraId="3A8A79D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 w:hAnsi="仿宋" w:eastAsia="仿宋"/>
                <w:sz w:val="24"/>
              </w:rPr>
              <w:t>副研究员</w:t>
            </w:r>
          </w:p>
        </w:tc>
        <w:tc>
          <w:tcPr>
            <w:tcW w:w="1128" w:type="pct"/>
            <w:tcBorders>
              <w:top w:val="single" w:color="auto" w:sz="8" w:space="0"/>
              <w:bottom w:val="single" w:color="auto" w:sz="8" w:space="0"/>
            </w:tcBorders>
            <w:noWrap w:val="0"/>
            <w:vAlign w:val="center"/>
          </w:tcPr>
          <w:p w14:paraId="66E370D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甘蔗栽培</w:t>
            </w:r>
          </w:p>
        </w:tc>
        <w:tc>
          <w:tcPr>
            <w:tcW w:w="1519" w:type="pct"/>
            <w:tcBorders>
              <w:top w:val="single" w:color="auto" w:sz="8" w:space="0"/>
              <w:bottom w:val="single" w:color="auto" w:sz="8" w:space="0"/>
            </w:tcBorders>
            <w:noWrap w:val="0"/>
            <w:vAlign w:val="center"/>
          </w:tcPr>
          <w:p w14:paraId="5F6A740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763A60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指导项目设计、立项申报、参与撰写等。</w:t>
            </w:r>
          </w:p>
        </w:tc>
      </w:tr>
      <w:tr w14:paraId="1C23EE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625" w:type="pct"/>
            <w:tcBorders>
              <w:top w:val="single" w:color="auto" w:sz="8" w:space="0"/>
              <w:bottom w:val="single" w:color="auto" w:sz="8" w:space="0"/>
            </w:tcBorders>
            <w:noWrap w:val="0"/>
            <w:vAlign w:val="center"/>
          </w:tcPr>
          <w:p w14:paraId="7A1EAE4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王维赞</w:t>
            </w:r>
          </w:p>
        </w:tc>
        <w:tc>
          <w:tcPr>
            <w:tcW w:w="804" w:type="pct"/>
            <w:tcBorders>
              <w:top w:val="single" w:color="auto" w:sz="8" w:space="0"/>
              <w:bottom w:val="single" w:color="auto" w:sz="8" w:space="0"/>
            </w:tcBorders>
            <w:noWrap w:val="0"/>
            <w:vAlign w:val="center"/>
          </w:tcPr>
          <w:p w14:paraId="6B0F36B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研究员</w:t>
            </w:r>
          </w:p>
        </w:tc>
        <w:tc>
          <w:tcPr>
            <w:tcW w:w="1128" w:type="pct"/>
            <w:tcBorders>
              <w:top w:val="single" w:color="auto" w:sz="8" w:space="0"/>
              <w:bottom w:val="single" w:color="auto" w:sz="8" w:space="0"/>
            </w:tcBorders>
            <w:noWrap w:val="0"/>
            <w:vAlign w:val="center"/>
          </w:tcPr>
          <w:p w14:paraId="1181AEC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甘蔗栽培</w:t>
            </w:r>
          </w:p>
        </w:tc>
        <w:tc>
          <w:tcPr>
            <w:tcW w:w="1519" w:type="pct"/>
            <w:tcBorders>
              <w:top w:val="single" w:color="auto" w:sz="8" w:space="0"/>
              <w:bottom w:val="single" w:color="auto" w:sz="8" w:space="0"/>
            </w:tcBorders>
            <w:noWrap w:val="0"/>
            <w:vAlign w:val="center"/>
          </w:tcPr>
          <w:p w14:paraId="76DA96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725B31C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指导项目设计、立项申报、参与撰写等。</w:t>
            </w:r>
          </w:p>
        </w:tc>
      </w:tr>
      <w:tr w14:paraId="1F1B82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779433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李杨瑞</w:t>
            </w:r>
          </w:p>
        </w:tc>
        <w:tc>
          <w:tcPr>
            <w:tcW w:w="804" w:type="pct"/>
            <w:tcBorders>
              <w:top w:val="single" w:color="auto" w:sz="8" w:space="0"/>
              <w:bottom w:val="single" w:color="auto" w:sz="8" w:space="0"/>
            </w:tcBorders>
            <w:noWrap w:val="0"/>
            <w:vAlign w:val="center"/>
          </w:tcPr>
          <w:p w14:paraId="28EF32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 w:hAnsi="仿宋" w:eastAsia="仿宋" w:cs="仿宋_GB2312"/>
                <w:sz w:val="24"/>
              </w:rPr>
            </w:pPr>
            <w:r>
              <w:rPr>
                <w:rFonts w:hint="eastAsia" w:ascii="仿宋" w:hAnsi="仿宋" w:eastAsia="仿宋" w:cs="仿宋_GB2312"/>
                <w:sz w:val="24"/>
              </w:rPr>
              <w:t>教授</w:t>
            </w:r>
          </w:p>
        </w:tc>
        <w:tc>
          <w:tcPr>
            <w:tcW w:w="1128" w:type="pct"/>
            <w:tcBorders>
              <w:top w:val="single" w:color="auto" w:sz="8" w:space="0"/>
              <w:bottom w:val="single" w:color="auto" w:sz="8" w:space="0"/>
            </w:tcBorders>
            <w:noWrap w:val="0"/>
            <w:vAlign w:val="center"/>
          </w:tcPr>
          <w:p w14:paraId="600AD88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甘蔗栽培</w:t>
            </w:r>
          </w:p>
        </w:tc>
        <w:tc>
          <w:tcPr>
            <w:tcW w:w="1519" w:type="pct"/>
            <w:tcBorders>
              <w:top w:val="single" w:color="auto" w:sz="8" w:space="0"/>
              <w:bottom w:val="single" w:color="auto" w:sz="8" w:space="0"/>
            </w:tcBorders>
            <w:noWrap w:val="0"/>
            <w:vAlign w:val="center"/>
          </w:tcPr>
          <w:p w14:paraId="2BFE11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7CFC5E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数据资料收集、标准起草、撰写。</w:t>
            </w:r>
          </w:p>
        </w:tc>
      </w:tr>
      <w:tr w14:paraId="4A6FC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2962121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李果果</w:t>
            </w:r>
          </w:p>
        </w:tc>
        <w:tc>
          <w:tcPr>
            <w:tcW w:w="804" w:type="pct"/>
            <w:tcBorders>
              <w:top w:val="single" w:color="auto" w:sz="8" w:space="0"/>
              <w:bottom w:val="single" w:color="auto" w:sz="8" w:space="0"/>
            </w:tcBorders>
            <w:noWrap w:val="0"/>
            <w:vAlign w:val="center"/>
          </w:tcPr>
          <w:p w14:paraId="0C9765A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_GB2312" w:hAnsi="仿宋_GB2312" w:eastAsia="仿宋_GB2312" w:cs="仿宋_GB2312"/>
                <w:sz w:val="24"/>
              </w:rPr>
            </w:pPr>
            <w:r>
              <w:rPr>
                <w:rFonts w:hint="eastAsia" w:ascii="仿宋" w:hAnsi="仿宋" w:eastAsia="仿宋"/>
                <w:sz w:val="24"/>
              </w:rPr>
              <w:t>副研究员</w:t>
            </w:r>
          </w:p>
        </w:tc>
        <w:tc>
          <w:tcPr>
            <w:tcW w:w="1128" w:type="pct"/>
            <w:tcBorders>
              <w:top w:val="single" w:color="auto" w:sz="8" w:space="0"/>
              <w:bottom w:val="single" w:color="auto" w:sz="8" w:space="0"/>
            </w:tcBorders>
            <w:noWrap w:val="0"/>
            <w:vAlign w:val="center"/>
          </w:tcPr>
          <w:p w14:paraId="5929436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园艺</w:t>
            </w:r>
          </w:p>
        </w:tc>
        <w:tc>
          <w:tcPr>
            <w:tcW w:w="1519" w:type="pct"/>
            <w:tcBorders>
              <w:top w:val="single" w:color="auto" w:sz="8" w:space="0"/>
              <w:bottom w:val="single" w:color="auto" w:sz="8" w:space="0"/>
            </w:tcBorders>
            <w:noWrap w:val="0"/>
            <w:vAlign w:val="center"/>
          </w:tcPr>
          <w:p w14:paraId="487E33A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61474C5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数据资料收集、标准起草、撰写。</w:t>
            </w:r>
          </w:p>
        </w:tc>
      </w:tr>
      <w:tr w14:paraId="0BEC66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4F620CA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黄曲燕</w:t>
            </w:r>
          </w:p>
        </w:tc>
        <w:tc>
          <w:tcPr>
            <w:tcW w:w="804" w:type="pct"/>
            <w:tcBorders>
              <w:top w:val="single" w:color="auto" w:sz="8" w:space="0"/>
              <w:bottom w:val="single" w:color="auto" w:sz="8" w:space="0"/>
            </w:tcBorders>
            <w:noWrap w:val="0"/>
            <w:vAlign w:val="center"/>
          </w:tcPr>
          <w:p w14:paraId="37710B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bookmarkStart w:id="3" w:name="OLE_LINK4"/>
            <w:r>
              <w:rPr>
                <w:rFonts w:hint="eastAsia" w:ascii="仿宋" w:hAnsi="仿宋" w:eastAsia="仿宋"/>
                <w:sz w:val="24"/>
              </w:rPr>
              <w:t>高级农艺师</w:t>
            </w:r>
            <w:bookmarkEnd w:id="3"/>
          </w:p>
        </w:tc>
        <w:tc>
          <w:tcPr>
            <w:tcW w:w="1128" w:type="pct"/>
            <w:tcBorders>
              <w:top w:val="single" w:color="auto" w:sz="8" w:space="0"/>
              <w:bottom w:val="single" w:color="auto" w:sz="8" w:space="0"/>
            </w:tcBorders>
            <w:noWrap w:val="0"/>
            <w:vAlign w:val="center"/>
          </w:tcPr>
          <w:p w14:paraId="74A73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园艺</w:t>
            </w:r>
          </w:p>
        </w:tc>
        <w:tc>
          <w:tcPr>
            <w:tcW w:w="1519" w:type="pct"/>
            <w:tcBorders>
              <w:top w:val="single" w:color="auto" w:sz="8" w:space="0"/>
              <w:bottom w:val="single" w:color="auto" w:sz="8" w:space="0"/>
            </w:tcBorders>
            <w:noWrap w:val="0"/>
            <w:vAlign w:val="center"/>
          </w:tcPr>
          <w:p w14:paraId="5B38B6B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0B9493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数据资料收集、标准起草、撰写。</w:t>
            </w:r>
          </w:p>
        </w:tc>
      </w:tr>
      <w:tr w14:paraId="5F8251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081D7C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刘晓燕</w:t>
            </w:r>
          </w:p>
        </w:tc>
        <w:tc>
          <w:tcPr>
            <w:tcW w:w="804" w:type="pct"/>
            <w:tcBorders>
              <w:top w:val="single" w:color="auto" w:sz="8" w:space="0"/>
              <w:bottom w:val="single" w:color="auto" w:sz="8" w:space="0"/>
            </w:tcBorders>
            <w:noWrap w:val="0"/>
            <w:vAlign w:val="center"/>
          </w:tcPr>
          <w:p w14:paraId="53BA04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 w:hAnsi="仿宋" w:eastAsia="仿宋"/>
                <w:sz w:val="24"/>
              </w:rPr>
              <w:t>副研究员</w:t>
            </w:r>
          </w:p>
        </w:tc>
        <w:tc>
          <w:tcPr>
            <w:tcW w:w="1128" w:type="pct"/>
            <w:tcBorders>
              <w:top w:val="single" w:color="auto" w:sz="8" w:space="0"/>
              <w:bottom w:val="single" w:color="auto" w:sz="8" w:space="0"/>
            </w:tcBorders>
            <w:noWrap w:val="0"/>
            <w:vAlign w:val="center"/>
          </w:tcPr>
          <w:p w14:paraId="29317B1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甘蔗栽培</w:t>
            </w:r>
          </w:p>
        </w:tc>
        <w:tc>
          <w:tcPr>
            <w:tcW w:w="1519" w:type="pct"/>
            <w:tcBorders>
              <w:top w:val="single" w:color="auto" w:sz="8" w:space="0"/>
              <w:bottom w:val="single" w:color="auto" w:sz="8" w:space="0"/>
            </w:tcBorders>
            <w:noWrap w:val="0"/>
            <w:vAlign w:val="center"/>
          </w:tcPr>
          <w:p w14:paraId="3C350E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广西壮族自治区农业科学院</w:t>
            </w:r>
          </w:p>
        </w:tc>
        <w:tc>
          <w:tcPr>
            <w:tcW w:w="924" w:type="pct"/>
            <w:tcBorders>
              <w:top w:val="single" w:color="auto" w:sz="8" w:space="0"/>
              <w:bottom w:val="single" w:color="auto" w:sz="8" w:space="0"/>
            </w:tcBorders>
            <w:noWrap w:val="0"/>
            <w:vAlign w:val="center"/>
          </w:tcPr>
          <w:p w14:paraId="7FD21AF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数据资料收集、标准起草、撰写。</w:t>
            </w:r>
          </w:p>
        </w:tc>
      </w:tr>
      <w:tr w14:paraId="272247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56A3E7C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韦爱琳</w:t>
            </w:r>
          </w:p>
        </w:tc>
        <w:tc>
          <w:tcPr>
            <w:tcW w:w="804" w:type="pct"/>
            <w:tcBorders>
              <w:top w:val="single" w:color="auto" w:sz="8" w:space="0"/>
              <w:bottom w:val="single" w:color="auto" w:sz="8" w:space="0"/>
            </w:tcBorders>
            <w:noWrap w:val="0"/>
            <w:vAlign w:val="center"/>
          </w:tcPr>
          <w:p w14:paraId="64DD2F6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 w:hAnsi="仿宋" w:eastAsia="仿宋"/>
                <w:sz w:val="24"/>
              </w:rPr>
              <w:t>高级农艺师</w:t>
            </w:r>
          </w:p>
        </w:tc>
        <w:tc>
          <w:tcPr>
            <w:tcW w:w="1128" w:type="pct"/>
            <w:tcBorders>
              <w:top w:val="single" w:color="auto" w:sz="8" w:space="0"/>
              <w:bottom w:val="single" w:color="auto" w:sz="8" w:space="0"/>
            </w:tcBorders>
            <w:noWrap w:val="0"/>
            <w:vAlign w:val="center"/>
          </w:tcPr>
          <w:p w14:paraId="3E6A40B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园艺</w:t>
            </w:r>
          </w:p>
        </w:tc>
        <w:tc>
          <w:tcPr>
            <w:tcW w:w="1519" w:type="pct"/>
            <w:tcBorders>
              <w:top w:val="single" w:color="auto" w:sz="8" w:space="0"/>
              <w:bottom w:val="single" w:color="auto" w:sz="8" w:space="0"/>
            </w:tcBorders>
            <w:noWrap w:val="0"/>
            <w:vAlign w:val="center"/>
          </w:tcPr>
          <w:p w14:paraId="6D6D55B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百色市农业科学研究所</w:t>
            </w:r>
          </w:p>
        </w:tc>
        <w:tc>
          <w:tcPr>
            <w:tcW w:w="924" w:type="pct"/>
            <w:tcBorders>
              <w:top w:val="single" w:color="auto" w:sz="8" w:space="0"/>
              <w:bottom w:val="single" w:color="auto" w:sz="8" w:space="0"/>
            </w:tcBorders>
            <w:noWrap w:val="0"/>
            <w:vAlign w:val="center"/>
          </w:tcPr>
          <w:p w14:paraId="33573FF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标准实施宣贯、培训</w:t>
            </w:r>
          </w:p>
        </w:tc>
      </w:tr>
      <w:tr w14:paraId="68D289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4ADE1BE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吴兰芳</w:t>
            </w:r>
          </w:p>
        </w:tc>
        <w:tc>
          <w:tcPr>
            <w:tcW w:w="804" w:type="pct"/>
            <w:tcBorders>
              <w:top w:val="single" w:color="auto" w:sz="8" w:space="0"/>
              <w:bottom w:val="single" w:color="auto" w:sz="8" w:space="0"/>
            </w:tcBorders>
            <w:noWrap w:val="0"/>
            <w:vAlign w:val="center"/>
          </w:tcPr>
          <w:p w14:paraId="2BCA707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 w:hAnsi="仿宋" w:eastAsia="仿宋"/>
                <w:sz w:val="24"/>
              </w:rPr>
              <w:t>高级农艺师</w:t>
            </w:r>
          </w:p>
        </w:tc>
        <w:tc>
          <w:tcPr>
            <w:tcW w:w="1128" w:type="pct"/>
            <w:tcBorders>
              <w:top w:val="single" w:color="auto" w:sz="8" w:space="0"/>
              <w:bottom w:val="single" w:color="auto" w:sz="8" w:space="0"/>
            </w:tcBorders>
            <w:noWrap w:val="0"/>
            <w:vAlign w:val="center"/>
          </w:tcPr>
          <w:p w14:paraId="7341ECC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果树</w:t>
            </w:r>
          </w:p>
        </w:tc>
        <w:tc>
          <w:tcPr>
            <w:tcW w:w="1519" w:type="pct"/>
            <w:tcBorders>
              <w:top w:val="single" w:color="auto" w:sz="8" w:space="0"/>
              <w:bottom w:val="single" w:color="auto" w:sz="8" w:space="0"/>
            </w:tcBorders>
            <w:noWrap w:val="0"/>
            <w:vAlign w:val="center"/>
          </w:tcPr>
          <w:p w14:paraId="6BEFDF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百色市农业科学研究所</w:t>
            </w:r>
          </w:p>
        </w:tc>
        <w:tc>
          <w:tcPr>
            <w:tcW w:w="924" w:type="pct"/>
            <w:tcBorders>
              <w:top w:val="single" w:color="auto" w:sz="8" w:space="0"/>
              <w:bottom w:val="single" w:color="auto" w:sz="8" w:space="0"/>
            </w:tcBorders>
            <w:noWrap w:val="0"/>
            <w:vAlign w:val="center"/>
          </w:tcPr>
          <w:p w14:paraId="2278DE7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标准实施宣贯、培训</w:t>
            </w:r>
          </w:p>
        </w:tc>
      </w:tr>
      <w:tr w14:paraId="58E324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25" w:type="pct"/>
            <w:tcBorders>
              <w:top w:val="single" w:color="auto" w:sz="8" w:space="0"/>
              <w:bottom w:val="single" w:color="auto" w:sz="8" w:space="0"/>
            </w:tcBorders>
            <w:noWrap w:val="0"/>
            <w:vAlign w:val="center"/>
          </w:tcPr>
          <w:p w14:paraId="26ED80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周连芳</w:t>
            </w:r>
          </w:p>
        </w:tc>
        <w:tc>
          <w:tcPr>
            <w:tcW w:w="804" w:type="pct"/>
            <w:tcBorders>
              <w:top w:val="single" w:color="auto" w:sz="8" w:space="0"/>
              <w:bottom w:val="single" w:color="auto" w:sz="8" w:space="0"/>
            </w:tcBorders>
            <w:noWrap w:val="0"/>
            <w:vAlign w:val="center"/>
          </w:tcPr>
          <w:p w14:paraId="30ED5A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 w:hAnsi="仿宋" w:eastAsia="仿宋"/>
                <w:sz w:val="24"/>
              </w:rPr>
              <w:t>高级农艺师</w:t>
            </w:r>
          </w:p>
        </w:tc>
        <w:tc>
          <w:tcPr>
            <w:tcW w:w="1128" w:type="pct"/>
            <w:tcBorders>
              <w:top w:val="single" w:color="auto" w:sz="8" w:space="0"/>
              <w:bottom w:val="single" w:color="auto" w:sz="8" w:space="0"/>
            </w:tcBorders>
            <w:noWrap w:val="0"/>
            <w:vAlign w:val="center"/>
          </w:tcPr>
          <w:p w14:paraId="70A629A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农学</w:t>
            </w:r>
          </w:p>
        </w:tc>
        <w:tc>
          <w:tcPr>
            <w:tcW w:w="1519" w:type="pct"/>
            <w:tcBorders>
              <w:top w:val="single" w:color="auto" w:sz="8" w:space="0"/>
              <w:bottom w:val="single" w:color="auto" w:sz="8" w:space="0"/>
            </w:tcBorders>
            <w:noWrap w:val="0"/>
            <w:vAlign w:val="center"/>
          </w:tcPr>
          <w:p w14:paraId="54114A9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_GB2312"/>
                <w:sz w:val="24"/>
              </w:rPr>
            </w:pPr>
            <w:r>
              <w:rPr>
                <w:rFonts w:hint="eastAsia" w:ascii="仿宋" w:hAnsi="仿宋" w:eastAsia="仿宋" w:cs="仿宋_GB2312"/>
                <w:sz w:val="24"/>
              </w:rPr>
              <w:t>百色市农业科学研究所</w:t>
            </w:r>
          </w:p>
        </w:tc>
        <w:tc>
          <w:tcPr>
            <w:tcW w:w="924" w:type="pct"/>
            <w:tcBorders>
              <w:top w:val="single" w:color="auto" w:sz="8" w:space="0"/>
              <w:bottom w:val="single" w:color="auto" w:sz="8" w:space="0"/>
            </w:tcBorders>
            <w:noWrap w:val="0"/>
            <w:vAlign w:val="center"/>
          </w:tcPr>
          <w:p w14:paraId="128B4F1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标准实施宣贯、培训</w:t>
            </w:r>
          </w:p>
        </w:tc>
      </w:tr>
    </w:tbl>
    <w:p w14:paraId="6BE1CEB3">
      <w:pPr>
        <w:keepNext w:val="0"/>
        <w:keepLines w:val="0"/>
        <w:pageBreakBefore w:val="0"/>
        <w:kinsoku/>
        <w:overflowPunct/>
        <w:topLinePunct w:val="0"/>
        <w:autoSpaceDE w:val="0"/>
        <w:autoSpaceDN w:val="0"/>
        <w:bidi w:val="0"/>
        <w:adjustRightInd w:val="0"/>
        <w:snapToGrid/>
        <w:spacing w:line="560" w:lineRule="exact"/>
        <w:ind w:left="0"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二、制定标准的必要性和意义</w:t>
      </w:r>
    </w:p>
    <w:p w14:paraId="219FB0C9">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甘蔗是世界各国制糖的重要原料之一，全世界每年生产的蔗糖约有70%来源于甘蔗。全世界有超过100多个国家种植甘蔗，全球的种植面积达到了1900万公顷，其中中国、巴西和印度是主要的甘蔗种植大国。中国种植的甘蔗大多为中国种和热带种。热带种按其用途又可分为糖蔗和果蔗两种。果蔗由于其皮软，纤维含量相对较少，汁多味美，深受蔗农和消费者的喜爱；糖蔗由于皮硬，纤维成分高，不适合食用，但是由于其丰富的糖含量，成为制糖工业的主要原料之一。根据2025年10月中国农产品供需形势分析，2024/25年度中国食糖产销结束，累计产糖1116万吨，较上年度增加120万吨；食糖年度均价为每吨5993元，比上年度每吨跌498元，跌幅7.7%；国际原糖年度均价为每磅18.58美分，比上年度每磅下跌3.1美分，跌幅14.3%。</w:t>
      </w:r>
    </w:p>
    <w:p w14:paraId="3BCBEFCB">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中国最大的甘蔗和食糖生产中心位于广西，其甘蔗种植面积、产量以及所生产的食糖产量均占全国的60%以上。广西2023年启动实施新一轮糖料蔗良种良法技术推广政策，对脱毒种苗和健康种苗新植蔗实行差异化补贴，完成脱毒健康种苗新植面积约353万亩。对接收联合机收蔗的糖企按机收量与入榨量占比给予差异化补贴，试点推广糖料蔗“田间砍运—集中切割除杂—进厂压榨”的分步式机收作业模式，全区糖料蔗生产综合机械化率70.8%。支持糖企建设糖料蔗自营基地，全区规模化经营总面积283万亩。2020～2022年，全区糖料蔗种植面积分别为1115万亩、1106万亩、1120万亩，遏制住了从2013年至2019年平均每年下滑78万亩的不利势头，基本稳定在1100万亩以上。同时，通过积极稳妥开展糖料蔗购销市场改革、完成500万亩“双高”基地建设，大力推进种植良种化等工作促进蔗农增收，农民种蔗直接收入基本稳定在250亿元左右，其中2021/2022年榨季259.62亿元，同比增长1.44%。2023/2024年榨季，广西糖料蔗产业种植面积1124万亩，预计糖料蔗产量4900万吨，食糖产量稳定在600万吨左右，糖料蔗种植面积和食糖产量将连续33个榨季位居全国第一。而果蔗在广西属于小众农产品，但产量却在全国排前列，至少有90%销往北方。全国的果蔗产区集中在广西、广东和云南等地。其中，广西产量占比30%左右，各县（区）均有种植，种植面积较大的有玉林博白县、兴业县、福绵区以及南宁横州市等地。</w:t>
      </w:r>
    </w:p>
    <w:p w14:paraId="71F10232">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而甘蔗抗倒伏是确保糖业稳产增效的核心环节，因为它直接决定了甘蔗的最终产量、含糖量和收割效率。一旦倒伏，不仅会导致甘蔗停止生长、糖分下降和品质劣变，造成直接经济损失，更会大幅提升收割难度和成本（尤其是使机械化收割无法进行），并严重损伤宿根，影响来年收成。可以说，甘蔗抗倒伏的能力，是衡量一个地区甘蔗产业现代化水平和风险抵御能力的重要标尺。它不仅是农业技术问题，更是关系到国家食糖安全、产业稳定和农民增收的经济问题。甘蔗抗倒伏评价的是连接科学研究、品种选育与田间生产、产业效益的核心桥梁，为整个产业的风险预警和决策优化提供了至关重要的科学依据。其是筛选和培育优良品种的首要关卡，通过系统、量化的指标，可以精准识别出具有强抗倒伏潜力的优良单株。其评价结果也可以指导何时培土、如何施肥、是否需要使用植物生长调节剂等措施，来主动增强植株抗倒能力。</w:t>
      </w:r>
    </w:p>
    <w:p w14:paraId="50C39573">
      <w:pPr>
        <w:keepNext w:val="0"/>
        <w:keepLines w:val="0"/>
        <w:pageBreakBefore w:val="0"/>
        <w:kinsoku/>
        <w:overflowPunct/>
        <w:topLinePunct w:val="0"/>
        <w:autoSpaceDE w:val="0"/>
        <w:autoSpaceDN w:val="0"/>
        <w:bidi w:val="0"/>
        <w:adjustRightInd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因此，有必要制定高质量团体标准《甘蔗抗倒伏评价技术规程》，以标准为抓手，统一规范甘蔗抗倒伏评价技术要求，助力甘蔗种植质量，促进甘蔗产业高质量发展。</w:t>
      </w:r>
    </w:p>
    <w:p w14:paraId="64CFA7EF">
      <w:pPr>
        <w:keepNext w:val="0"/>
        <w:keepLines w:val="0"/>
        <w:pageBreakBefore w:val="0"/>
        <w:kinsoku/>
        <w:overflowPunct/>
        <w:topLinePunct w:val="0"/>
        <w:autoSpaceDE w:val="0"/>
        <w:autoSpaceDN w:val="0"/>
        <w:bidi w:val="0"/>
        <w:adjustRightInd w:val="0"/>
        <w:snapToGrid/>
        <w:spacing w:line="560" w:lineRule="exact"/>
        <w:ind w:left="0"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三、主要起草过程</w:t>
      </w:r>
    </w:p>
    <w:p w14:paraId="0D6A5644">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b/>
          <w:color w:val="auto"/>
          <w:sz w:val="32"/>
          <w:szCs w:val="28"/>
          <w:highlight w:val="none"/>
        </w:rPr>
        <w:t>（一）成立标准编制工作组</w:t>
      </w:r>
    </w:p>
    <w:p w14:paraId="437C2B65">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团体标准《甘蔗抗倒伏评价技术规程》项目任务下达后，广西壮族自治区农业科学院成立了标准编制工作组，</w:t>
      </w:r>
      <w:r>
        <w:rPr>
          <w:rFonts w:hint="eastAsia" w:ascii="仿宋_GB2312" w:hAnsi="仿宋_GB2312" w:cs="仿宋_GB2312"/>
          <w:color w:val="auto"/>
          <w:sz w:val="32"/>
          <w:szCs w:val="28"/>
          <w:highlight w:val="none"/>
          <w:lang w:val="en-US" w:eastAsia="zh-CN"/>
        </w:rPr>
        <w:t>并</w:t>
      </w:r>
      <w:r>
        <w:rPr>
          <w:rFonts w:hint="eastAsia" w:ascii="仿宋_GB2312" w:hAnsi="仿宋_GB2312" w:eastAsia="仿宋_GB2312" w:cs="仿宋_GB2312"/>
          <w:color w:val="auto"/>
          <w:sz w:val="32"/>
          <w:szCs w:val="28"/>
          <w:highlight w:val="none"/>
        </w:rPr>
        <w:t>制定了起草编写方案与进度安排，明确任务职责，确定工作技术路线，开展标准研制工作。具体标准编制工作由广西壮族自治区农业科学院、广西壮族自治区亚热带作物研究所、百色市农业科学研究所等单位负责人组成的标准编制工作组完成。</w:t>
      </w:r>
    </w:p>
    <w:p w14:paraId="0D99A07B">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编制工作组下设三个组，分别是资料收集组、草案编写组、标准实施组。</w:t>
      </w:r>
    </w:p>
    <w:p w14:paraId="59AE398B">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资料收集组负责国内外有关甘蔗抗倒伏评价的文献资料的查询、收集和整理工作，查阅前人对甘蔗抗倒伏评价的研究情况。</w:t>
      </w:r>
    </w:p>
    <w:p w14:paraId="0BE25F71">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草案编写组负责起草标准草案、征求意见稿和标准编制说明、送审稿及编制说明的编写工作，包括后期召开征求意见会、网上征求意见，以及标准的不断修改和完善。</w:t>
      </w:r>
    </w:p>
    <w:p w14:paraId="067432A5">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标准实施组负责团体标准《甘蔗抗倒伏评价技术规程》发布后，组织相关企事业单位开展标准宣贯培训会，对标准进行详细解读，让相关人员了解标准，并根据标准对甘蔗抗倒伏评价技术进行规范化操作，并对标准实施情况进行总结分析，不断对团体标准提出修正意见。</w:t>
      </w:r>
    </w:p>
    <w:p w14:paraId="32C78715">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（二）收集整理文献资料</w:t>
      </w:r>
    </w:p>
    <w:p w14:paraId="2B9611BD">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lang w:val="fr-FR"/>
        </w:rPr>
      </w:pPr>
      <w:r>
        <w:rPr>
          <w:rFonts w:hint="eastAsia" w:ascii="仿宋_GB2312" w:hAnsi="仿宋_GB2312" w:eastAsia="仿宋_GB2312" w:cs="仿宋_GB2312"/>
          <w:color w:val="auto"/>
          <w:sz w:val="32"/>
          <w:szCs w:val="28"/>
          <w:highlight w:val="none"/>
        </w:rPr>
        <w:t>标准编制工作组收集了国内有关甘蔗抗倒伏评价相关文献资料。主要有</w:t>
      </w:r>
      <w:r>
        <w:rPr>
          <w:rFonts w:hint="eastAsia" w:ascii="仿宋_GB2312" w:hAnsi="仿宋_GB2312" w:eastAsia="仿宋_GB2312" w:cs="仿宋_GB2312"/>
          <w:color w:val="auto"/>
          <w:sz w:val="32"/>
          <w:szCs w:val="28"/>
          <w:highlight w:val="none"/>
          <w:lang w:val="fr-FR"/>
        </w:rPr>
        <w:t>：</w:t>
      </w:r>
    </w:p>
    <w:p w14:paraId="2F2EDA8B">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cs="仿宋_GB2312"/>
          <w:color w:val="auto"/>
          <w:szCs w:val="28"/>
          <w:highlight w:val="none"/>
        </w:rPr>
        <w:t xml:space="preserve">GBT 5262-2008 </w:t>
      </w:r>
      <w:r>
        <w:rPr>
          <w:rFonts w:hint="eastAsia" w:ascii="仿宋_GB2312" w:hAnsi="仿宋_GB2312" w:cs="仿宋_GB2312"/>
          <w:color w:val="auto"/>
          <w:szCs w:val="28"/>
          <w:highlight w:val="none"/>
          <w:lang w:val="en-US" w:eastAsia="zh-CN"/>
        </w:rPr>
        <w:t xml:space="preserve"> </w:t>
      </w:r>
      <w:r>
        <w:rPr>
          <w:rFonts w:hint="eastAsia" w:ascii="仿宋_GB2312" w:hAnsi="仿宋_GB2312" w:cs="仿宋_GB2312"/>
          <w:color w:val="auto"/>
          <w:szCs w:val="28"/>
          <w:highlight w:val="none"/>
        </w:rPr>
        <w:t>农业机械</w:t>
      </w:r>
      <w:r>
        <w:rPr>
          <w:rFonts w:hint="eastAsia" w:ascii="仿宋_GB2312" w:hAnsi="仿宋_GB2312" w:cs="仿宋_GB2312"/>
          <w:color w:val="auto"/>
          <w:szCs w:val="28"/>
          <w:highlight w:val="none"/>
          <w:lang w:val="en-US" w:eastAsia="zh-CN"/>
        </w:rPr>
        <w:t xml:space="preserve"> </w:t>
      </w:r>
      <w:r>
        <w:rPr>
          <w:rFonts w:hint="eastAsia" w:ascii="仿宋_GB2312" w:hAnsi="仿宋_GB2312" w:cs="仿宋_GB2312"/>
          <w:color w:val="auto"/>
          <w:szCs w:val="28"/>
          <w:highlight w:val="none"/>
        </w:rPr>
        <w:t xml:space="preserve"> 试验条件测定方法的一般规定</w:t>
      </w:r>
    </w:p>
    <w:p w14:paraId="373342B9">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NY</w:t>
      </w:r>
      <w:r>
        <w:rPr>
          <w:rFonts w:hint="eastAsia" w:ascii="仿宋_GB2312" w:hAnsi="仿宋_GB2312" w:cs="仿宋_GB2312"/>
          <w:color w:val="auto"/>
          <w:sz w:val="32"/>
          <w:szCs w:val="28"/>
          <w:highlight w:val="none"/>
          <w:lang w:val="en-US" w:eastAsia="zh-CN"/>
        </w:rPr>
        <w:t>/</w:t>
      </w:r>
      <w:r>
        <w:rPr>
          <w:rFonts w:hint="eastAsia" w:ascii="仿宋_GB2312" w:hAnsi="仿宋_GB2312" w:eastAsia="仿宋_GB2312" w:cs="仿宋_GB2312"/>
          <w:color w:val="auto"/>
          <w:sz w:val="32"/>
          <w:szCs w:val="28"/>
          <w:highlight w:val="none"/>
        </w:rPr>
        <w:t xml:space="preserve">T 2902-2016 </w:t>
      </w:r>
      <w:r>
        <w:rPr>
          <w:rFonts w:hint="eastAsia" w:ascii="仿宋_GB2312" w:hAnsi="仿宋_GB2312" w:cs="仿宋_GB2312"/>
          <w:color w:val="auto"/>
          <w:sz w:val="32"/>
          <w:szCs w:val="28"/>
          <w:highlight w:val="none"/>
          <w:lang w:val="en-US" w:eastAsia="zh-CN"/>
        </w:rPr>
        <w:t xml:space="preserve"> </w:t>
      </w:r>
      <w:r>
        <w:rPr>
          <w:rFonts w:hint="eastAsia" w:ascii="仿宋_GB2312" w:hAnsi="仿宋_GB2312" w:eastAsia="仿宋_GB2312" w:cs="仿宋_GB2312"/>
          <w:color w:val="auto"/>
          <w:sz w:val="32"/>
          <w:szCs w:val="28"/>
          <w:highlight w:val="none"/>
        </w:rPr>
        <w:t>甘蔗联合收获机</w:t>
      </w:r>
      <w:r>
        <w:rPr>
          <w:rFonts w:hint="eastAsia" w:ascii="仿宋_GB2312" w:hAnsi="仿宋_GB2312" w:cs="仿宋_GB2312"/>
          <w:color w:val="auto"/>
          <w:sz w:val="32"/>
          <w:szCs w:val="28"/>
          <w:highlight w:val="none"/>
          <w:lang w:val="en-US" w:eastAsia="zh-CN"/>
        </w:rPr>
        <w:t xml:space="preserve"> </w:t>
      </w:r>
      <w:r>
        <w:rPr>
          <w:rFonts w:hint="eastAsia" w:ascii="仿宋_GB2312" w:hAnsi="仿宋_GB2312" w:eastAsia="仿宋_GB2312" w:cs="仿宋_GB2312"/>
          <w:color w:val="auto"/>
          <w:sz w:val="32"/>
          <w:szCs w:val="28"/>
          <w:highlight w:val="none"/>
        </w:rPr>
        <w:t xml:space="preserve"> 作业质量。</w:t>
      </w:r>
    </w:p>
    <w:p w14:paraId="29516432">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cs="仿宋_GB2312"/>
          <w:color w:val="auto"/>
          <w:szCs w:val="28"/>
          <w:highlight w:val="none"/>
        </w:rPr>
      </w:pPr>
      <w:r>
        <w:rPr>
          <w:rFonts w:hint="eastAsia" w:ascii="仿宋_GB2312" w:hAnsi="仿宋_GB2312" w:cs="仿宋_GB2312"/>
          <w:color w:val="auto"/>
          <w:szCs w:val="28"/>
          <w:highlight w:val="none"/>
        </w:rPr>
        <w:t>俞华先,安汝东,桃联安,等.57NG208与南涧果蔗正反交后代的抗倒伏性评价[J].热带作物学报,2025,46(04):914-923.</w:t>
      </w:r>
    </w:p>
    <w:p w14:paraId="14480ACA">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李翔.甘蔗抗倒伏性评价及抗性机制研究[D].南宁:广西大学,2019.</w:t>
      </w:r>
    </w:p>
    <w:p w14:paraId="44937C7D">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（三）研讨确定标准</w:t>
      </w:r>
      <w:r>
        <w:rPr>
          <w:rFonts w:hint="eastAsia" w:ascii="仿宋_GB2312" w:hAnsi="仿宋_GB2312" w:eastAsia="仿宋_GB2312" w:cs="仿宋_GB2312"/>
          <w:b/>
          <w:color w:val="auto"/>
          <w:sz w:val="32"/>
          <w:szCs w:val="28"/>
          <w:highlight w:val="none"/>
          <w:lang w:val="en-US" w:eastAsia="zh-CN"/>
        </w:rPr>
        <w:t>特色、创新点、</w:t>
      </w:r>
      <w:r>
        <w:rPr>
          <w:rFonts w:hint="eastAsia" w:ascii="仿宋_GB2312" w:hAnsi="仿宋_GB2312" w:eastAsia="仿宋_GB2312" w:cs="仿宋_GB2312"/>
          <w:b/>
          <w:color w:val="auto"/>
          <w:sz w:val="32"/>
          <w:szCs w:val="28"/>
          <w:highlight w:val="none"/>
        </w:rPr>
        <w:t>主体内容</w:t>
      </w:r>
    </w:p>
    <w:p w14:paraId="2963878A">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1、</w:t>
      </w:r>
      <w:r>
        <w:rPr>
          <w:rFonts w:hint="eastAsia" w:ascii="仿宋_GB2312" w:hAnsi="仿宋_GB2312" w:cs="仿宋_GB2312"/>
          <w:color w:val="auto"/>
          <w:sz w:val="32"/>
          <w:szCs w:val="28"/>
          <w:highlight w:val="none"/>
          <w:lang w:val="en-US" w:eastAsia="zh-CN"/>
        </w:rPr>
        <w:t>特色及</w:t>
      </w:r>
      <w:r>
        <w:rPr>
          <w:rFonts w:hint="eastAsia" w:ascii="仿宋_GB2312" w:hAnsi="仿宋_GB2312" w:eastAsia="仿宋_GB2312" w:cs="仿宋_GB2312"/>
          <w:color w:val="auto"/>
          <w:sz w:val="32"/>
          <w:szCs w:val="28"/>
          <w:highlight w:val="none"/>
          <w:lang w:val="en-US" w:eastAsia="zh-CN"/>
        </w:rPr>
        <w:t>创新点</w:t>
      </w:r>
    </w:p>
    <w:p w14:paraId="0CDE3198">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lang w:val="en-US" w:eastAsia="zh-CN"/>
        </w:rPr>
      </w:pPr>
      <w:r>
        <w:rPr>
          <w:rFonts w:hint="eastAsia" w:ascii="仿宋_GB2312" w:hAnsi="仿宋_GB2312" w:cs="仿宋_GB2312"/>
          <w:color w:val="auto"/>
          <w:sz w:val="32"/>
          <w:szCs w:val="28"/>
          <w:highlight w:val="none"/>
          <w:lang w:val="en-US" w:eastAsia="zh-CN"/>
        </w:rPr>
        <w:t>（1）</w:t>
      </w:r>
      <w:r>
        <w:rPr>
          <w:rFonts w:hint="eastAsia" w:ascii="仿宋_GB2312" w:hAnsi="仿宋_GB2312" w:eastAsia="仿宋_GB2312" w:cs="仿宋_GB2312"/>
          <w:color w:val="auto"/>
          <w:sz w:val="32"/>
          <w:szCs w:val="28"/>
          <w:highlight w:val="none"/>
          <w:lang w:val="en-US" w:eastAsia="zh-CN"/>
        </w:rPr>
        <w:t>根据历年甘蔗倒伏情况的观察及广西甘蔗品种区域试验多年多点的研究，确立了甘蔗倒伏分级标准，建立了抗倒伏指数和抗倒伏系数。</w:t>
      </w:r>
    </w:p>
    <w:p w14:paraId="1A9C50C7">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lang w:val="en-US" w:eastAsia="zh-CN"/>
        </w:rPr>
      </w:pPr>
      <w:r>
        <w:rPr>
          <w:rFonts w:hint="eastAsia" w:ascii="仿宋_GB2312" w:hAnsi="仿宋_GB2312" w:cs="仿宋_GB2312"/>
          <w:color w:val="auto"/>
          <w:sz w:val="32"/>
          <w:szCs w:val="28"/>
          <w:highlight w:val="none"/>
          <w:lang w:val="en-US" w:eastAsia="zh-CN"/>
        </w:rPr>
        <w:t>（2）</w:t>
      </w:r>
      <w:r>
        <w:rPr>
          <w:rFonts w:hint="eastAsia" w:ascii="仿宋_GB2312" w:hAnsi="仿宋_GB2312" w:eastAsia="仿宋_GB2312" w:cs="仿宋_GB2312"/>
          <w:color w:val="auto"/>
          <w:sz w:val="32"/>
          <w:szCs w:val="28"/>
          <w:highlight w:val="none"/>
          <w:lang w:val="en-US" w:eastAsia="zh-CN"/>
        </w:rPr>
        <w:t>创新了甘蔗品种（系）及实生苗的田间抗倒伏性评价方法，证实了基部茎径和中部茎径的比值较大的甘蔗品种（系）抗倒伏能力强，为选育抗倒伏、宜机化优良甘蔗品种提供了参考依据。</w:t>
      </w:r>
    </w:p>
    <w:p w14:paraId="2A81DD5F">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2、主体内容</w:t>
      </w:r>
    </w:p>
    <w:p w14:paraId="691B939C">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标准编制工作组在对收集的资料进行整理研究之后，标准编制工作组召开了标准编制会议，对标准的整体框架结构进行了研究，并对标准的关键性内容进行了初步探讨。经过研究，标准的主体内容确定为术语和定义、</w:t>
      </w:r>
      <w:r>
        <w:rPr>
          <w:rFonts w:hint="eastAsia" w:ascii="仿宋_GB2312" w:hAnsi="仿宋_GB2312" w:cs="仿宋_GB2312"/>
          <w:color w:val="auto"/>
          <w:sz w:val="32"/>
          <w:szCs w:val="28"/>
          <w:highlight w:val="none"/>
          <w:lang w:val="en-US" w:eastAsia="zh-CN"/>
        </w:rPr>
        <w:t>评价方法、调查指标、甘蔗品种抗倒伏性评价、甘蔗实生苗抗倒伏性评价</w:t>
      </w:r>
      <w:r>
        <w:rPr>
          <w:rFonts w:hint="eastAsia" w:ascii="仿宋_GB2312" w:hAnsi="仿宋_GB2312" w:eastAsia="仿宋_GB2312" w:cs="仿宋_GB2312"/>
          <w:color w:val="auto"/>
          <w:sz w:val="32"/>
          <w:szCs w:val="28"/>
          <w:highlight w:val="none"/>
        </w:rPr>
        <w:t>。</w:t>
      </w:r>
    </w:p>
    <w:p w14:paraId="61FABD75">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（四）调研及形成草案、征求意见稿</w:t>
      </w:r>
    </w:p>
    <w:p w14:paraId="6B432005">
      <w:pPr>
        <w:keepNext w:val="0"/>
        <w:keepLines w:val="0"/>
        <w:pageBreakBefore w:val="0"/>
        <w:kinsoku/>
        <w:overflowPunct/>
        <w:topLinePunct w:val="0"/>
        <w:bidi w:val="0"/>
        <w:snapToGrid/>
        <w:ind w:left="0" w:firstLine="640" w:firstLineChars="200"/>
        <w:textAlignment w:val="auto"/>
        <w:rPr>
          <w:rFonts w:hint="default"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rPr>
        <w:t>20</w:t>
      </w:r>
      <w:r>
        <w:rPr>
          <w:rFonts w:hint="eastAsia" w:ascii="仿宋_GB2312" w:hAnsi="仿宋_GB2312" w:cs="仿宋_GB2312"/>
          <w:color w:val="auto"/>
          <w:sz w:val="32"/>
          <w:szCs w:val="28"/>
          <w:highlight w:val="none"/>
          <w:lang w:val="en-US" w:eastAsia="zh-CN"/>
        </w:rPr>
        <w:t>25</w:t>
      </w:r>
      <w:r>
        <w:rPr>
          <w:rFonts w:hint="eastAsia" w:ascii="仿宋_GB2312" w:hAnsi="仿宋_GB2312" w:eastAsia="仿宋_GB2312" w:cs="仿宋_GB2312"/>
          <w:color w:val="auto"/>
          <w:sz w:val="32"/>
          <w:szCs w:val="28"/>
          <w:highlight w:val="none"/>
        </w:rPr>
        <w:t>年</w:t>
      </w:r>
      <w:r>
        <w:rPr>
          <w:rFonts w:hint="eastAsia" w:ascii="仿宋_GB2312" w:hAnsi="仿宋_GB2312" w:cs="仿宋_GB2312"/>
          <w:color w:val="auto"/>
          <w:sz w:val="32"/>
          <w:szCs w:val="28"/>
          <w:highlight w:val="none"/>
          <w:lang w:val="en-US" w:eastAsia="zh-CN"/>
        </w:rPr>
        <w:t>10</w:t>
      </w:r>
      <w:r>
        <w:rPr>
          <w:rFonts w:hint="eastAsia" w:ascii="仿宋_GB2312" w:hAnsi="仿宋_GB2312" w:eastAsia="仿宋_GB2312" w:cs="仿宋_GB2312"/>
          <w:color w:val="auto"/>
          <w:sz w:val="32"/>
          <w:szCs w:val="28"/>
          <w:highlight w:val="none"/>
        </w:rPr>
        <w:t>月，标准起草工作小组进行了广泛调研工作，查阅了大量的国内外文献资料，对甘蔗抗倒伏评价的前人研究成果进行系统总结。</w:t>
      </w:r>
      <w:r>
        <w:rPr>
          <w:rFonts w:hint="eastAsia" w:ascii="仿宋_GB2312" w:hAnsi="仿宋_GB2312" w:cs="仿宋_GB2312"/>
          <w:color w:val="auto"/>
          <w:sz w:val="32"/>
          <w:szCs w:val="28"/>
          <w:highlight w:val="none"/>
          <w:lang w:val="en-US" w:eastAsia="zh-CN"/>
        </w:rPr>
        <w:t>重点对由于全国统一大市场需求而被废止的广西地方标准《</w:t>
      </w:r>
      <w:r>
        <w:rPr>
          <w:rFonts w:hint="eastAsia" w:ascii="仿宋_GB2312" w:hAnsi="仿宋_GB2312" w:cs="仿宋_GB2312"/>
          <w:color w:val="auto"/>
          <w:szCs w:val="28"/>
          <w:highlight w:val="none"/>
        </w:rPr>
        <w:t>DB45</w:t>
      </w:r>
      <w:r>
        <w:rPr>
          <w:rFonts w:hint="eastAsia" w:ascii="仿宋_GB2312" w:hAnsi="仿宋_GB2312" w:cs="仿宋_GB2312"/>
          <w:color w:val="auto"/>
          <w:szCs w:val="28"/>
          <w:highlight w:val="none"/>
          <w:lang w:val="en-US" w:eastAsia="zh-CN"/>
        </w:rPr>
        <w:t>/</w:t>
      </w:r>
      <w:r>
        <w:rPr>
          <w:rFonts w:hint="eastAsia" w:ascii="仿宋_GB2312" w:hAnsi="仿宋_GB2312" w:cs="仿宋_GB2312"/>
          <w:color w:val="auto"/>
          <w:szCs w:val="28"/>
          <w:highlight w:val="none"/>
        </w:rPr>
        <w:t xml:space="preserve">T 2741-2023 </w:t>
      </w:r>
      <w:r>
        <w:rPr>
          <w:rFonts w:hint="eastAsia" w:ascii="仿宋_GB2312" w:hAnsi="仿宋_GB2312" w:cs="仿宋_GB2312"/>
          <w:color w:val="auto"/>
          <w:szCs w:val="28"/>
          <w:highlight w:val="none"/>
          <w:lang w:val="en-US" w:eastAsia="zh-CN"/>
        </w:rPr>
        <w:t xml:space="preserve"> </w:t>
      </w:r>
      <w:r>
        <w:rPr>
          <w:rFonts w:hint="eastAsia" w:ascii="仿宋_GB2312" w:hAnsi="仿宋_GB2312" w:eastAsia="仿宋_GB2312" w:cs="仿宋_GB2312"/>
          <w:color w:val="auto"/>
          <w:sz w:val="32"/>
          <w:szCs w:val="28"/>
          <w:highlight w:val="none"/>
        </w:rPr>
        <w:t>甘蔗抗倒伏评价</w:t>
      </w:r>
      <w:r>
        <w:rPr>
          <w:rFonts w:hint="eastAsia" w:ascii="仿宋_GB2312" w:hAnsi="仿宋_GB2312" w:cs="仿宋_GB2312"/>
          <w:color w:val="auto"/>
          <w:sz w:val="32"/>
          <w:szCs w:val="28"/>
          <w:highlight w:val="none"/>
          <w:lang w:val="en-US" w:eastAsia="zh-CN"/>
        </w:rPr>
        <w:t>技术规程</w:t>
      </w:r>
      <w:r>
        <w:rPr>
          <w:rFonts w:hint="eastAsia" w:ascii="仿宋_GB2312" w:hAnsi="仿宋_GB2312" w:cs="仿宋_GB2312"/>
          <w:color w:val="auto"/>
          <w:sz w:val="32"/>
          <w:szCs w:val="28"/>
          <w:highlight w:val="none"/>
          <w:lang w:eastAsia="zh-CN"/>
        </w:rPr>
        <w:t>》</w:t>
      </w:r>
      <w:r>
        <w:rPr>
          <w:rFonts w:hint="eastAsia" w:ascii="仿宋_GB2312" w:hAnsi="仿宋_GB2312" w:cs="仿宋_GB2312"/>
          <w:color w:val="auto"/>
          <w:sz w:val="32"/>
          <w:szCs w:val="28"/>
          <w:highlight w:val="none"/>
          <w:lang w:val="en-US" w:eastAsia="zh-CN"/>
        </w:rPr>
        <w:t>的技术适用情况进行分析，在此基础上</w:t>
      </w:r>
      <w:r>
        <w:rPr>
          <w:rFonts w:hint="eastAsia" w:ascii="仿宋_GB2312" w:hAnsi="仿宋_GB2312" w:eastAsia="仿宋_GB2312" w:cs="仿宋_GB2312"/>
          <w:color w:val="auto"/>
          <w:sz w:val="32"/>
          <w:szCs w:val="28"/>
          <w:highlight w:val="none"/>
        </w:rPr>
        <w:t>形成了标准的基本构架，对主要内容进行了讨论并对项目的工作进行了部署和安排。</w:t>
      </w:r>
      <w:r>
        <w:rPr>
          <w:rFonts w:hint="eastAsia" w:ascii="仿宋_GB2312" w:hAnsi="仿宋_GB2312" w:cs="仿宋_GB2312"/>
          <w:color w:val="auto"/>
          <w:sz w:val="32"/>
          <w:szCs w:val="28"/>
          <w:highlight w:val="none"/>
          <w:lang w:val="en-US" w:eastAsia="zh-CN"/>
        </w:rPr>
        <w:t>同时，按照广西标准化协会团体标准申报相关规定，准备相关立项材料报送广西标准化协会。</w:t>
      </w:r>
    </w:p>
    <w:p w14:paraId="09305CF3">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20</w:t>
      </w:r>
      <w:r>
        <w:rPr>
          <w:rFonts w:hint="eastAsia" w:ascii="仿宋_GB2312" w:hAnsi="仿宋_GB2312" w:cs="仿宋_GB2312"/>
          <w:color w:val="auto"/>
          <w:sz w:val="32"/>
          <w:szCs w:val="28"/>
          <w:highlight w:val="none"/>
          <w:lang w:val="en-US" w:eastAsia="zh-CN"/>
        </w:rPr>
        <w:t>25</w:t>
      </w:r>
      <w:r>
        <w:rPr>
          <w:rFonts w:hint="eastAsia" w:ascii="仿宋_GB2312" w:hAnsi="仿宋_GB2312" w:eastAsia="仿宋_GB2312" w:cs="仿宋_GB2312"/>
          <w:color w:val="auto"/>
          <w:sz w:val="32"/>
          <w:szCs w:val="28"/>
          <w:highlight w:val="none"/>
        </w:rPr>
        <w:t>年</w:t>
      </w:r>
      <w:r>
        <w:rPr>
          <w:rFonts w:hint="eastAsia" w:ascii="仿宋_GB2312" w:hAnsi="仿宋_GB2312" w:cs="仿宋_GB2312"/>
          <w:color w:val="auto"/>
          <w:sz w:val="32"/>
          <w:szCs w:val="28"/>
          <w:highlight w:val="none"/>
          <w:lang w:val="en-US" w:eastAsia="zh-CN"/>
        </w:rPr>
        <w:t>11</w:t>
      </w:r>
      <w:r>
        <w:rPr>
          <w:rFonts w:hint="eastAsia" w:ascii="仿宋_GB2312" w:hAnsi="仿宋_GB2312" w:eastAsia="仿宋_GB2312" w:cs="仿宋_GB2312"/>
          <w:color w:val="auto"/>
          <w:sz w:val="32"/>
          <w:szCs w:val="28"/>
          <w:highlight w:val="none"/>
        </w:rPr>
        <w:t>月，在前期工作的基础之上，通过理清逻辑脉络，整合已有的参考资料中有关甘蔗抗倒伏评价要求，并结合甘蔗抗倒伏评价实际要求的基础上，按照简化、统一等原则编制完成团体标准《甘蔗抗倒伏评价</w:t>
      </w:r>
      <w:r>
        <w:rPr>
          <w:rFonts w:hint="eastAsia" w:ascii="仿宋_GB2312" w:hAnsi="仿宋_GB2312" w:cs="仿宋_GB2312"/>
          <w:color w:val="auto"/>
          <w:sz w:val="32"/>
          <w:szCs w:val="28"/>
          <w:highlight w:val="none"/>
          <w:lang w:val="en-US" w:eastAsia="zh-CN"/>
        </w:rPr>
        <w:t>技术规程</w:t>
      </w:r>
      <w:r>
        <w:rPr>
          <w:rFonts w:hint="eastAsia" w:ascii="仿宋_GB2312" w:hAnsi="仿宋_GB2312" w:eastAsia="仿宋_GB2312" w:cs="仿宋_GB2312"/>
          <w:color w:val="auto"/>
          <w:sz w:val="32"/>
          <w:szCs w:val="28"/>
          <w:highlight w:val="none"/>
        </w:rPr>
        <w:t>》（草案）。</w:t>
      </w:r>
    </w:p>
    <w:p w14:paraId="1F6A96F1">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20</w:t>
      </w:r>
      <w:r>
        <w:rPr>
          <w:rFonts w:hint="eastAsia" w:ascii="仿宋_GB2312" w:hAnsi="仿宋_GB2312" w:cs="仿宋_GB2312"/>
          <w:color w:val="auto"/>
          <w:sz w:val="32"/>
          <w:szCs w:val="28"/>
          <w:highlight w:val="none"/>
          <w:lang w:val="en-US" w:eastAsia="zh-CN"/>
        </w:rPr>
        <w:t>25</w:t>
      </w:r>
      <w:r>
        <w:rPr>
          <w:rFonts w:hint="eastAsia" w:ascii="仿宋_GB2312" w:hAnsi="仿宋_GB2312" w:eastAsia="仿宋_GB2312" w:cs="仿宋_GB2312"/>
          <w:color w:val="auto"/>
          <w:sz w:val="32"/>
          <w:szCs w:val="28"/>
          <w:highlight w:val="none"/>
        </w:rPr>
        <w:t>年</w:t>
      </w:r>
      <w:r>
        <w:rPr>
          <w:rFonts w:hint="eastAsia" w:ascii="仿宋_GB2312" w:hAnsi="仿宋_GB2312" w:cs="仿宋_GB2312"/>
          <w:color w:val="auto"/>
          <w:sz w:val="32"/>
          <w:szCs w:val="28"/>
          <w:highlight w:val="none"/>
          <w:lang w:val="en-US" w:eastAsia="zh-CN"/>
        </w:rPr>
        <w:t>12</w:t>
      </w:r>
      <w:r>
        <w:rPr>
          <w:rFonts w:hint="eastAsia" w:ascii="仿宋_GB2312" w:hAnsi="仿宋_GB2312" w:eastAsia="仿宋_GB2312" w:cs="仿宋_GB2312"/>
          <w:color w:val="auto"/>
          <w:sz w:val="32"/>
          <w:szCs w:val="28"/>
          <w:highlight w:val="none"/>
        </w:rPr>
        <w:t>月</w:t>
      </w:r>
      <w:r>
        <w:rPr>
          <w:rFonts w:hint="eastAsia" w:ascii="仿宋_GB2312" w:hAnsi="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rPr>
        <w:t>标准起草工作组到相关单位和科研机构进行调研，开展试验验证</w:t>
      </w:r>
      <w:r>
        <w:rPr>
          <w:rFonts w:hint="eastAsia" w:ascii="仿宋_GB2312" w:hAnsi="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rPr>
        <w:t>并实际征求意见，通过收集反馈了大量意见，标准编制工作组多次召开会议，对标准草案进行了反复修改和研究讨论。</w:t>
      </w:r>
      <w:r>
        <w:rPr>
          <w:rFonts w:hint="eastAsia" w:ascii="仿宋_GB2312" w:hAnsi="仿宋_GB2312" w:cs="仿宋_GB2312"/>
          <w:color w:val="auto"/>
          <w:sz w:val="32"/>
          <w:szCs w:val="28"/>
          <w:highlight w:val="none"/>
          <w:lang w:val="en-US" w:eastAsia="zh-CN"/>
        </w:rPr>
        <w:t>同时，团体标准《</w:t>
      </w:r>
      <w:r>
        <w:rPr>
          <w:rFonts w:hint="eastAsia" w:ascii="仿宋_GB2312" w:hAnsi="仿宋_GB2312" w:eastAsia="仿宋_GB2312" w:cs="仿宋_GB2312"/>
          <w:color w:val="auto"/>
          <w:sz w:val="32"/>
          <w:szCs w:val="28"/>
          <w:highlight w:val="none"/>
        </w:rPr>
        <w:t>甘蔗抗倒伏评价</w:t>
      </w:r>
      <w:r>
        <w:rPr>
          <w:rFonts w:hint="eastAsia" w:ascii="仿宋_GB2312" w:hAnsi="仿宋_GB2312" w:cs="仿宋_GB2312"/>
          <w:color w:val="auto"/>
          <w:sz w:val="32"/>
          <w:szCs w:val="28"/>
          <w:highlight w:val="none"/>
          <w:lang w:val="en-US" w:eastAsia="zh-CN"/>
        </w:rPr>
        <w:t>技术规程》已获立项。经过</w:t>
      </w:r>
      <w:r>
        <w:rPr>
          <w:rFonts w:hint="eastAsia" w:ascii="仿宋_GB2312" w:hAnsi="仿宋_GB2312" w:eastAsia="仿宋_GB2312" w:cs="仿宋_GB2312"/>
          <w:color w:val="auto"/>
          <w:sz w:val="32"/>
          <w:szCs w:val="28"/>
          <w:highlight w:val="none"/>
        </w:rPr>
        <w:t>进一步讨论完善标准草案，</w:t>
      </w:r>
      <w:r>
        <w:rPr>
          <w:rFonts w:hint="eastAsia" w:ascii="仿宋_GB2312" w:hAnsi="仿宋_GB2312" w:cs="仿宋_GB2312"/>
          <w:color w:val="auto"/>
          <w:sz w:val="32"/>
          <w:szCs w:val="28"/>
          <w:highlight w:val="none"/>
          <w:lang w:val="en-US" w:eastAsia="zh-CN"/>
        </w:rPr>
        <w:t>最后</w:t>
      </w:r>
      <w:r>
        <w:rPr>
          <w:rFonts w:hint="eastAsia" w:ascii="仿宋_GB2312" w:hAnsi="仿宋_GB2312" w:eastAsia="仿宋_GB2312" w:cs="仿宋_GB2312"/>
          <w:color w:val="auto"/>
          <w:sz w:val="32"/>
          <w:szCs w:val="28"/>
          <w:highlight w:val="none"/>
        </w:rPr>
        <w:t>形成</w:t>
      </w:r>
      <w:r>
        <w:rPr>
          <w:rFonts w:hint="eastAsia" w:ascii="仿宋_GB2312" w:hAnsi="仿宋_GB2312" w:cs="仿宋_GB2312"/>
          <w:color w:val="auto"/>
          <w:sz w:val="32"/>
          <w:szCs w:val="28"/>
          <w:highlight w:val="none"/>
          <w:lang w:val="en-US" w:eastAsia="zh-CN"/>
        </w:rPr>
        <w:t>了</w:t>
      </w:r>
      <w:r>
        <w:rPr>
          <w:rFonts w:hint="eastAsia" w:ascii="仿宋_GB2312" w:hAnsi="仿宋_GB2312" w:eastAsia="仿宋_GB2312" w:cs="仿宋_GB2312"/>
          <w:color w:val="auto"/>
          <w:sz w:val="32"/>
          <w:szCs w:val="28"/>
          <w:highlight w:val="none"/>
        </w:rPr>
        <w:t>团体标准《甘蔗抗倒伏评价</w:t>
      </w:r>
      <w:r>
        <w:rPr>
          <w:rFonts w:hint="eastAsia" w:ascii="仿宋_GB2312" w:hAnsi="仿宋_GB2312" w:cs="仿宋_GB2312"/>
          <w:color w:val="auto"/>
          <w:sz w:val="32"/>
          <w:szCs w:val="28"/>
          <w:highlight w:val="none"/>
          <w:lang w:val="en-US" w:eastAsia="zh-CN"/>
        </w:rPr>
        <w:t>技术规程</w:t>
      </w:r>
      <w:r>
        <w:rPr>
          <w:rFonts w:hint="eastAsia" w:ascii="仿宋_GB2312" w:hAnsi="仿宋_GB2312" w:eastAsia="仿宋_GB2312" w:cs="仿宋_GB2312"/>
          <w:color w:val="auto"/>
          <w:sz w:val="32"/>
          <w:szCs w:val="28"/>
          <w:highlight w:val="none"/>
        </w:rPr>
        <w:t>》（征求意见稿）和（征求意见稿）编制说明。</w:t>
      </w:r>
    </w:p>
    <w:p w14:paraId="3B832357">
      <w:pPr>
        <w:keepNext w:val="0"/>
        <w:keepLines w:val="0"/>
        <w:pageBreakBefore w:val="0"/>
        <w:kinsoku/>
        <w:overflowPunct/>
        <w:topLinePunct w:val="0"/>
        <w:autoSpaceDE w:val="0"/>
        <w:autoSpaceDN w:val="0"/>
        <w:bidi w:val="0"/>
        <w:adjustRightInd w:val="0"/>
        <w:snapToGrid/>
        <w:ind w:left="0"/>
        <w:jc w:val="left"/>
        <w:textAlignment w:val="auto"/>
        <w:rPr>
          <w:rFonts w:hint="eastAsia" w:ascii="仿宋_GB2312" w:hAnsi="仿宋_GB2312" w:eastAsia="仿宋_GB2312" w:cs="仿宋_GB2312"/>
          <w:b/>
          <w:bCs w:val="0"/>
          <w:color w:val="auto"/>
          <w:sz w:val="32"/>
          <w:szCs w:val="32"/>
          <w:highlight w:val="none"/>
        </w:rPr>
      </w:pPr>
      <w:bookmarkStart w:id="4" w:name="_Toc526940083"/>
      <w:r>
        <w:rPr>
          <w:rFonts w:hint="eastAsia" w:ascii="仿宋_GB2312" w:hAnsi="仿宋_GB2312" w:eastAsia="仿宋_GB2312" w:cs="仿宋_GB2312"/>
          <w:b/>
          <w:bCs w:val="0"/>
          <w:color w:val="auto"/>
          <w:sz w:val="32"/>
          <w:szCs w:val="32"/>
          <w:highlight w:val="none"/>
        </w:rPr>
        <w:t>四、</w:t>
      </w:r>
      <w:bookmarkEnd w:id="4"/>
      <w:r>
        <w:rPr>
          <w:rFonts w:hint="eastAsia" w:ascii="仿宋_GB2312" w:hAnsi="仿宋_GB2312" w:eastAsia="仿宋_GB2312" w:cs="仿宋_GB2312"/>
          <w:b/>
          <w:bCs w:val="0"/>
          <w:color w:val="auto"/>
          <w:sz w:val="32"/>
          <w:szCs w:val="32"/>
          <w:highlight w:val="none"/>
        </w:rPr>
        <w:t>制定标准的原则和依据，与现行法律、法规的关系，与有关国家标准、行业标准的协调情况</w:t>
      </w:r>
    </w:p>
    <w:p w14:paraId="30EFA250">
      <w:pPr>
        <w:pStyle w:val="10"/>
        <w:keepNext w:val="0"/>
        <w:keepLines w:val="0"/>
        <w:pageBreakBefore w:val="0"/>
        <w:kinsoku/>
        <w:overflowPunct/>
        <w:topLinePunct w:val="0"/>
        <w:bidi w:val="0"/>
        <w:snapToGrid/>
        <w:spacing w:line="560" w:lineRule="exact"/>
        <w:ind w:left="0" w:firstLine="0" w:firstLineChars="0"/>
        <w:textAlignment w:val="auto"/>
        <w:outlineLvl w:val="1"/>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（一）编制原则</w:t>
      </w:r>
    </w:p>
    <w:p w14:paraId="7432AB81">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1、实用性原则</w:t>
      </w:r>
    </w:p>
    <w:p w14:paraId="096AD80F">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本文件是在充分收集相关资料和文献，分析甘蔗抗倒伏评价当前现状，在现有相关甘蔗抗倒伏评价</w:t>
      </w:r>
      <w:r>
        <w:rPr>
          <w:rFonts w:hint="eastAsia" w:ascii="仿宋_GB2312" w:hAnsi="仿宋_GB2312" w:cs="仿宋_GB2312"/>
          <w:color w:val="auto"/>
          <w:sz w:val="32"/>
          <w:szCs w:val="28"/>
          <w:highlight w:val="none"/>
          <w:lang w:val="en-US" w:eastAsia="zh-CN"/>
        </w:rPr>
        <w:t>技术</w:t>
      </w:r>
      <w:r>
        <w:rPr>
          <w:rFonts w:hint="eastAsia" w:ascii="仿宋_GB2312" w:hAnsi="仿宋_GB2312" w:eastAsia="仿宋_GB2312" w:cs="仿宋_GB2312"/>
          <w:color w:val="auto"/>
          <w:sz w:val="32"/>
          <w:szCs w:val="28"/>
          <w:highlight w:val="none"/>
        </w:rPr>
        <w:t>要求的基础上，结合编制单位多年相关经验而总结起草的，符合当前甘蔗抗倒伏评价</w:t>
      </w:r>
      <w:r>
        <w:rPr>
          <w:rFonts w:hint="eastAsia" w:ascii="仿宋_GB2312" w:hAnsi="仿宋_GB2312" w:cs="仿宋_GB2312"/>
          <w:color w:val="auto"/>
          <w:sz w:val="32"/>
          <w:szCs w:val="28"/>
          <w:highlight w:val="none"/>
          <w:lang w:val="en-US" w:eastAsia="zh-CN"/>
        </w:rPr>
        <w:t>工作</w:t>
      </w:r>
      <w:r>
        <w:rPr>
          <w:rFonts w:hint="eastAsia" w:ascii="仿宋_GB2312" w:hAnsi="仿宋_GB2312" w:eastAsia="仿宋_GB2312" w:cs="仿宋_GB2312"/>
          <w:color w:val="auto"/>
          <w:sz w:val="32"/>
          <w:szCs w:val="28"/>
          <w:highlight w:val="none"/>
        </w:rPr>
        <w:t>发展的方向，具有较强的实用性和可操作性。</w:t>
      </w:r>
    </w:p>
    <w:p w14:paraId="62EF7D35">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2、协调性原则</w:t>
      </w:r>
    </w:p>
    <w:p w14:paraId="18A33837">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本文件编写过程中注意了与甘蔗抗倒伏评价相关法律法规的协调问题，在内容上与现行法律法规、标准协调一致。</w:t>
      </w:r>
    </w:p>
    <w:p w14:paraId="48B06747">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3、规范性原则</w:t>
      </w:r>
    </w:p>
    <w:p w14:paraId="3276EBB5">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本文件严格参照GB/T 1.1—2020《标准化工作导则  第1部分：标准化文件的结构和起草规则》编写本标准的内容，保证标准的编写质量。</w:t>
      </w:r>
    </w:p>
    <w:p w14:paraId="173D3B39">
      <w:pPr>
        <w:keepNext w:val="0"/>
        <w:keepLines w:val="0"/>
        <w:pageBreakBefore w:val="0"/>
        <w:tabs>
          <w:tab w:val="center" w:pos="4201"/>
          <w:tab w:val="right" w:leader="dot" w:pos="9298"/>
        </w:tabs>
        <w:kinsoku/>
        <w:overflowPunct/>
        <w:topLinePunct w:val="0"/>
        <w:autoSpaceDE w:val="0"/>
        <w:autoSpaceDN w:val="0"/>
        <w:bidi w:val="0"/>
        <w:snapToGrid/>
        <w:ind w:left="0" w:firstLine="643"/>
        <w:textAlignment w:val="auto"/>
        <w:outlineLvl w:val="2"/>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4、前瞻性原则</w:t>
      </w:r>
    </w:p>
    <w:p w14:paraId="2315C397">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本文件在兼顾当前区内甘蔗抗倒伏评价</w:t>
      </w:r>
      <w:r>
        <w:rPr>
          <w:rFonts w:hint="eastAsia" w:ascii="仿宋_GB2312" w:hAnsi="仿宋_GB2312" w:cs="仿宋_GB2312"/>
          <w:color w:val="auto"/>
          <w:sz w:val="32"/>
          <w:szCs w:val="28"/>
          <w:highlight w:val="none"/>
          <w:lang w:val="en-US" w:eastAsia="zh-CN"/>
        </w:rPr>
        <w:t>工作</w:t>
      </w:r>
      <w:r>
        <w:rPr>
          <w:rFonts w:hint="eastAsia" w:ascii="仿宋_GB2312" w:hAnsi="仿宋_GB2312" w:eastAsia="仿宋_GB2312" w:cs="仿宋_GB2312"/>
          <w:color w:val="auto"/>
          <w:sz w:val="32"/>
          <w:szCs w:val="28"/>
          <w:highlight w:val="none"/>
        </w:rPr>
        <w:t>现实情况的同时，还考虑到了甘蔗抗倒伏评价</w:t>
      </w:r>
      <w:r>
        <w:rPr>
          <w:rFonts w:hint="eastAsia" w:ascii="仿宋_GB2312" w:hAnsi="仿宋_GB2312" w:cs="仿宋_GB2312"/>
          <w:color w:val="auto"/>
          <w:sz w:val="32"/>
          <w:szCs w:val="28"/>
          <w:highlight w:val="none"/>
          <w:lang w:val="en-US" w:eastAsia="zh-CN"/>
        </w:rPr>
        <w:t>技术</w:t>
      </w:r>
      <w:r>
        <w:rPr>
          <w:rFonts w:hint="eastAsia" w:ascii="仿宋_GB2312" w:hAnsi="仿宋_GB2312" w:eastAsia="仿宋_GB2312" w:cs="仿宋_GB2312"/>
          <w:color w:val="auto"/>
          <w:sz w:val="32"/>
          <w:szCs w:val="28"/>
          <w:highlight w:val="none"/>
        </w:rPr>
        <w:t>快速发展的趋势和需要，在标准中体现了个别特色性、前瞻性和先进性条款，作为对甘蔗抗倒伏评价</w:t>
      </w:r>
      <w:r>
        <w:rPr>
          <w:rFonts w:hint="eastAsia" w:ascii="仿宋_GB2312" w:hAnsi="仿宋_GB2312" w:cs="仿宋_GB2312"/>
          <w:color w:val="auto"/>
          <w:sz w:val="32"/>
          <w:szCs w:val="28"/>
          <w:highlight w:val="none"/>
          <w:lang w:val="en-US" w:eastAsia="zh-CN"/>
        </w:rPr>
        <w:t>技术</w:t>
      </w:r>
      <w:r>
        <w:rPr>
          <w:rFonts w:hint="eastAsia" w:ascii="仿宋_GB2312" w:hAnsi="仿宋_GB2312" w:eastAsia="仿宋_GB2312" w:cs="仿宋_GB2312"/>
          <w:color w:val="auto"/>
          <w:sz w:val="32"/>
          <w:szCs w:val="28"/>
          <w:highlight w:val="none"/>
        </w:rPr>
        <w:t>发展的指导。</w:t>
      </w:r>
    </w:p>
    <w:p w14:paraId="323DB155">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（二）编制依据</w:t>
      </w:r>
    </w:p>
    <w:p w14:paraId="03C8CA65">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本标准严格按照GB/T 1.1—2020《标准化工作导则  第1部分：标准化文件的结构和起草规则》的规则起草，标准主要内容参考相关标准文件并结合起草单位多年的相关经验和实践验证情况总结进行起草。</w:t>
      </w:r>
    </w:p>
    <w:p w14:paraId="4909473A">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textAlignment w:val="auto"/>
        <w:outlineLvl w:val="1"/>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（三）与现行法律、法规的关系，与有关国家标准、行业标准的协调情况</w:t>
      </w:r>
    </w:p>
    <w:p w14:paraId="03FE614D">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本编制工作组承诺本标准内容与各项指标不违反相关法律法规要求，且不低于国家强制性标准、推荐性国家标准和行业标准要求。</w:t>
      </w:r>
    </w:p>
    <w:p w14:paraId="753754A3">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经查阅，</w:t>
      </w:r>
      <w:r>
        <w:rPr>
          <w:rFonts w:hint="eastAsia" w:ascii="仿宋_GB2312" w:hAnsi="仿宋_GB2312" w:cs="仿宋_GB2312"/>
          <w:color w:val="auto"/>
          <w:sz w:val="32"/>
          <w:szCs w:val="28"/>
          <w:highlight w:val="none"/>
          <w:lang w:val="en-US" w:eastAsia="zh-CN"/>
        </w:rPr>
        <w:t>目前暂无“</w:t>
      </w:r>
      <w:r>
        <w:rPr>
          <w:rFonts w:hint="eastAsia" w:ascii="仿宋_GB2312" w:hAnsi="仿宋_GB2312" w:eastAsia="仿宋_GB2312" w:cs="仿宋_GB2312"/>
          <w:color w:val="auto"/>
          <w:sz w:val="32"/>
          <w:szCs w:val="28"/>
          <w:highlight w:val="none"/>
        </w:rPr>
        <w:t>甘蔗抗倒伏评价技术</w:t>
      </w:r>
      <w:r>
        <w:rPr>
          <w:rFonts w:hint="eastAsia" w:ascii="仿宋_GB2312" w:hAnsi="仿宋_GB2312" w:cs="仿宋_GB2312"/>
          <w:color w:val="auto"/>
          <w:sz w:val="32"/>
          <w:szCs w:val="28"/>
          <w:highlight w:val="none"/>
          <w:lang w:val="en-US" w:eastAsia="zh-CN"/>
        </w:rPr>
        <w:t>规程</w:t>
      </w:r>
      <w:r>
        <w:rPr>
          <w:rFonts w:hint="eastAsia" w:ascii="仿宋_GB2312" w:hAnsi="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rPr>
        <w:t>标准</w:t>
      </w:r>
      <w:r>
        <w:rPr>
          <w:rFonts w:hint="eastAsia" w:ascii="仿宋_GB2312" w:hAnsi="仿宋_GB2312" w:cs="仿宋_GB2312"/>
          <w:color w:val="auto"/>
          <w:sz w:val="32"/>
          <w:szCs w:val="28"/>
          <w:highlight w:val="none"/>
          <w:lang w:eastAsia="zh-CN"/>
        </w:rPr>
        <w:t>。</w:t>
      </w:r>
    </w:p>
    <w:p w14:paraId="29FA2AD1">
      <w:pPr>
        <w:keepNext w:val="0"/>
        <w:keepLines w:val="0"/>
        <w:pageBreakBefore w:val="0"/>
        <w:kinsoku/>
        <w:overflowPunct/>
        <w:topLinePunct w:val="0"/>
        <w:bidi w:val="0"/>
        <w:snapToGrid/>
        <w:ind w:left="0" w:firstLine="640" w:firstLineChars="200"/>
        <w:textAlignment w:val="auto"/>
        <w:rPr>
          <w:rFonts w:hint="default" w:ascii="仿宋_GB2312" w:hAnsi="仿宋_GB2312" w:eastAsia="仿宋_GB2312" w:cs="仿宋_GB2312"/>
          <w:color w:val="auto"/>
          <w:sz w:val="32"/>
          <w:szCs w:val="28"/>
          <w:highlight w:val="none"/>
          <w:lang w:val="en-US" w:eastAsia="zh-CN"/>
        </w:rPr>
      </w:pPr>
      <w:r>
        <w:rPr>
          <w:rFonts w:hint="eastAsia" w:ascii="仿宋_GB2312" w:hAnsi="仿宋_GB2312" w:cs="仿宋_GB2312"/>
          <w:color w:val="auto"/>
          <w:sz w:val="32"/>
          <w:szCs w:val="28"/>
          <w:highlight w:val="none"/>
          <w:lang w:val="en-US" w:eastAsia="zh-CN"/>
        </w:rPr>
        <w:t>起草单位前期起草的广西地方标准《</w:t>
      </w:r>
      <w:r>
        <w:rPr>
          <w:rFonts w:hint="eastAsia" w:ascii="仿宋_GB2312" w:hAnsi="仿宋_GB2312" w:eastAsia="仿宋_GB2312" w:cs="仿宋_GB2312"/>
          <w:color w:val="auto"/>
          <w:sz w:val="32"/>
          <w:szCs w:val="28"/>
          <w:highlight w:val="none"/>
        </w:rPr>
        <w:t>DB45/T 2741-2023  甘蔗抗倒伏评价技术规程》</w:t>
      </w:r>
      <w:r>
        <w:rPr>
          <w:rFonts w:hint="eastAsia" w:ascii="仿宋_GB2312" w:hAnsi="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rPr>
        <w:t>由于全国统一大市场需求，已废止。</w:t>
      </w:r>
    </w:p>
    <w:p w14:paraId="7FA8BB82">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综上</w:t>
      </w:r>
      <w:r>
        <w:rPr>
          <w:rFonts w:hint="eastAsia" w:ascii="仿宋_GB2312" w:hAnsi="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rPr>
        <w:t>目前暂无甘蔗抗倒伏评价标准，广西地方标准《DB45/T 2741-2023  甘蔗抗倒伏评价技术规程》已废止，而其评价技术仍广泛在各甘蔗产业相关企业、单位、机构中使用，具有良好指导意义，因此制定团体标准《甘蔗抗倒伏评价技术规程》，</w:t>
      </w:r>
      <w:r>
        <w:rPr>
          <w:rFonts w:hint="eastAsia" w:ascii="仿宋_GB2312" w:hAnsi="仿宋_GB2312" w:cs="仿宋_GB2312"/>
          <w:color w:val="auto"/>
          <w:sz w:val="32"/>
          <w:szCs w:val="28"/>
          <w:highlight w:val="none"/>
          <w:lang w:val="en-US" w:eastAsia="zh-CN"/>
        </w:rPr>
        <w:t>对</w:t>
      </w:r>
      <w:r>
        <w:rPr>
          <w:rFonts w:hint="eastAsia" w:ascii="仿宋_GB2312" w:hAnsi="仿宋_GB2312" w:eastAsia="仿宋_GB2312" w:cs="仿宋_GB2312"/>
          <w:color w:val="auto"/>
          <w:sz w:val="32"/>
          <w:szCs w:val="28"/>
          <w:highlight w:val="none"/>
        </w:rPr>
        <w:t>继续指导甘蔗行业抗倒伏评价工作十分有必要。。</w:t>
      </w:r>
    </w:p>
    <w:p w14:paraId="14FD2F15">
      <w:pPr>
        <w:keepNext w:val="0"/>
        <w:keepLines w:val="0"/>
        <w:pageBreakBefore w:val="0"/>
        <w:kinsoku/>
        <w:overflowPunct/>
        <w:topLinePunct w:val="0"/>
        <w:autoSpaceDE w:val="0"/>
        <w:autoSpaceDN w:val="0"/>
        <w:bidi w:val="0"/>
        <w:adjustRightInd w:val="0"/>
        <w:snapToGrid/>
        <w:spacing w:line="560" w:lineRule="exact"/>
        <w:ind w:left="0" w:firstLine="643" w:firstLineChars="200"/>
        <w:jc w:val="left"/>
        <w:textAlignment w:val="auto"/>
        <w:rPr>
          <w:rFonts w:hint="eastAsia" w:ascii="仿宋_GB2312" w:hAnsi="仿宋_GB2312" w:eastAsia="仿宋_GB2312" w:cs="仿宋_GB2312"/>
          <w:b/>
          <w:bCs/>
          <w:color w:val="auto"/>
          <w:sz w:val="32"/>
          <w:szCs w:val="32"/>
          <w:highlight w:val="none"/>
        </w:rPr>
      </w:pPr>
      <w:bookmarkStart w:id="5" w:name="_Toc526940084"/>
      <w:r>
        <w:rPr>
          <w:rFonts w:hint="eastAsia" w:ascii="仿宋_GB2312" w:hAnsi="仿宋_GB2312" w:eastAsia="仿宋_GB2312" w:cs="仿宋_GB2312"/>
          <w:b/>
          <w:bCs/>
          <w:color w:val="auto"/>
          <w:sz w:val="32"/>
          <w:szCs w:val="32"/>
          <w:highlight w:val="none"/>
        </w:rPr>
        <w:t>五、</w:t>
      </w:r>
      <w:bookmarkEnd w:id="5"/>
      <w:r>
        <w:rPr>
          <w:rFonts w:hint="eastAsia" w:ascii="仿宋_GB2312" w:hAnsi="仿宋_GB2312" w:eastAsia="仿宋_GB2312" w:cs="仿宋_GB2312"/>
          <w:b/>
          <w:bCs/>
          <w:color w:val="auto"/>
          <w:sz w:val="32"/>
          <w:szCs w:val="32"/>
          <w:highlight w:val="none"/>
        </w:rPr>
        <w:t>主要条款的说明</w:t>
      </w:r>
    </w:p>
    <w:p w14:paraId="62992045">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广西壮族自治区农业科学院等单位自2017年起系统开展甘蔗抗倒伏评价工作，重点针对甘蔗实生苗及各类品种（系）进行抗倒伏性鉴定与评价，并推动相关成果在实际生产中的应用推广。目前该抗倒伏评价技术，主要由广西的甘蔗育种机构及制糖企业使用，包括广西壮族自治区农业科学院、广西亚热带作物研究所、广西南亚热带农业科学研究所、柳州市农业科学研究中心、河池市农业科学研究所、百色市农业科学研究所、来宾市农业科学院、崇左市农业科学研究所、扶绥县农业科学研究所等科研单位，以及广西驮卢东亚糖业有限公司、广西凤糖生化股份有限公司、广西洋浦南华糖业集团股份有限公司、广西农垦金光农场有限公司等企业。</w:t>
      </w:r>
    </w:p>
    <w:p w14:paraId="63C4B0B7">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目前，该项评价工作的覆盖面积已累计超过4万亩，形成了良好的示范效应，得到了业内的广泛认可。</w:t>
      </w:r>
      <w:r>
        <w:rPr>
          <w:rFonts w:hint="eastAsia" w:ascii="仿宋_GB2312" w:hAnsi="仿宋_GB2312" w:cs="仿宋_GB2312"/>
          <w:color w:val="auto"/>
          <w:sz w:val="32"/>
          <w:szCs w:val="32"/>
          <w:highlight w:val="none"/>
          <w:lang w:val="en-US" w:eastAsia="zh-CN"/>
        </w:rPr>
        <w:t>经过</w:t>
      </w:r>
      <w:r>
        <w:rPr>
          <w:rFonts w:hint="eastAsia" w:ascii="仿宋_GB2312" w:hAnsi="仿宋_GB2312" w:eastAsia="仿宋_GB2312" w:cs="仿宋_GB2312"/>
          <w:color w:val="auto"/>
          <w:sz w:val="32"/>
          <w:szCs w:val="32"/>
          <w:highlight w:val="none"/>
          <w:lang w:val="zh-CN"/>
        </w:rPr>
        <w:t>长期实践过程中不断总结技术经验，持续优化评价方法，逐步形成了一套科学、成熟、操作性强的甘蔗抗倒伏评价技术体系</w:t>
      </w:r>
      <w:r>
        <w:rPr>
          <w:rFonts w:hint="eastAsia" w:ascii="仿宋_GB2312" w:hAnsi="仿宋_GB2312" w:cs="仿宋_GB2312"/>
          <w:color w:val="auto"/>
          <w:sz w:val="32"/>
          <w:szCs w:val="32"/>
          <w:highlight w:val="none"/>
          <w:lang w:val="zh-CN"/>
        </w:rPr>
        <w:t>。</w:t>
      </w:r>
    </w:p>
    <w:p w14:paraId="5003E715">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团体标准《</w:t>
      </w:r>
      <w:r>
        <w:rPr>
          <w:rFonts w:hint="eastAsia" w:ascii="仿宋_GB2312" w:hAnsi="仿宋_GB2312" w:eastAsia="仿宋_GB2312" w:cs="仿宋_GB2312"/>
          <w:color w:val="auto"/>
          <w:sz w:val="32"/>
          <w:szCs w:val="28"/>
          <w:highlight w:val="none"/>
        </w:rPr>
        <w:t>甘蔗抗倒伏评价技术规程</w:t>
      </w:r>
      <w:r>
        <w:rPr>
          <w:rFonts w:hint="eastAsia" w:ascii="仿宋_GB2312" w:hAnsi="仿宋_GB2312" w:eastAsia="仿宋_GB2312" w:cs="仿宋_GB2312"/>
          <w:color w:val="auto"/>
          <w:sz w:val="32"/>
          <w:szCs w:val="32"/>
          <w:highlight w:val="none"/>
          <w:lang w:val="zh-CN"/>
        </w:rPr>
        <w:t>》的主要章节内容包括：</w:t>
      </w:r>
      <w:r>
        <w:rPr>
          <w:rFonts w:hint="eastAsia" w:ascii="仿宋_GB2312" w:hAnsi="仿宋_GB2312" w:eastAsia="仿宋_GB2312" w:cs="仿宋_GB2312"/>
          <w:color w:val="auto"/>
          <w:sz w:val="32"/>
          <w:szCs w:val="28"/>
          <w:highlight w:val="none"/>
        </w:rPr>
        <w:t>术语和定义、</w:t>
      </w:r>
      <w:r>
        <w:rPr>
          <w:rFonts w:hint="eastAsia" w:ascii="仿宋_GB2312" w:hAnsi="仿宋_GB2312" w:cs="仿宋_GB2312"/>
          <w:color w:val="auto"/>
          <w:sz w:val="32"/>
          <w:szCs w:val="28"/>
          <w:highlight w:val="none"/>
          <w:lang w:val="en-US" w:eastAsia="zh-CN"/>
        </w:rPr>
        <w:t>评价方法、调查指标、甘蔗品种抗倒伏性评价、甘蔗实生苗抗倒伏性评价</w:t>
      </w:r>
      <w:r>
        <w:rPr>
          <w:rFonts w:hint="eastAsia" w:ascii="仿宋_GB2312" w:hAnsi="仿宋_GB2312" w:eastAsia="仿宋_GB2312" w:cs="仿宋_GB2312"/>
          <w:color w:val="auto"/>
          <w:sz w:val="32"/>
          <w:szCs w:val="32"/>
          <w:highlight w:val="none"/>
          <w:lang w:val="zh-CN"/>
        </w:rPr>
        <w:t>。本文件主要内容及依据来源说明如下：</w:t>
      </w:r>
    </w:p>
    <w:p w14:paraId="40C50225">
      <w:pPr>
        <w:pStyle w:val="29"/>
        <w:keepNext w:val="0"/>
        <w:keepLines w:val="0"/>
        <w:pageBreakBefore w:val="0"/>
        <w:numPr>
          <w:ilvl w:val="0"/>
          <w:numId w:val="0"/>
        </w:numPr>
        <w:kinsoku/>
        <w:overflowPunct/>
        <w:topLinePunct w:val="0"/>
        <w:autoSpaceDE/>
        <w:autoSpaceDN/>
        <w:bidi w:val="0"/>
        <w:adjustRightInd w:val="0"/>
        <w:snapToGrid/>
        <w:spacing w:line="560" w:lineRule="exact"/>
        <w:ind w:left="0" w:firstLine="643" w:firstLineChars="200"/>
        <w:jc w:val="left"/>
        <w:textAlignment w:val="auto"/>
        <w:rPr>
          <w:rFonts w:hint="eastAsia" w:ascii="仿宋_GB2312" w:hAnsi="仿宋_GB2312" w:eastAsia="仿宋_GB2312" w:cs="仿宋_GB2312"/>
          <w:b/>
          <w:color w:val="auto"/>
          <w:sz w:val="32"/>
          <w:szCs w:val="32"/>
          <w:highlight w:val="none"/>
          <w:lang w:val="zh-CN"/>
        </w:rPr>
      </w:pPr>
      <w:r>
        <w:rPr>
          <w:rFonts w:hint="default" w:ascii="仿宋_GB2312" w:hAnsi="仿宋_GB2312" w:eastAsia="仿宋_GB2312" w:cs="仿宋_GB2312"/>
          <w:b/>
          <w:color w:val="auto"/>
          <w:kern w:val="2"/>
          <w:sz w:val="32"/>
          <w:szCs w:val="32"/>
          <w:highlight w:val="none"/>
          <w:lang w:val="zh-CN" w:eastAsia="zh-CN" w:bidi="ar-SA"/>
        </w:rPr>
        <w:t>（一）</w:t>
      </w:r>
      <w:r>
        <w:rPr>
          <w:rFonts w:hint="eastAsia" w:ascii="仿宋_GB2312" w:hAnsi="仿宋_GB2312" w:eastAsia="仿宋_GB2312" w:cs="仿宋_GB2312"/>
          <w:b/>
          <w:color w:val="auto"/>
          <w:sz w:val="32"/>
          <w:szCs w:val="32"/>
          <w:highlight w:val="none"/>
          <w:lang w:val="zh-CN"/>
        </w:rPr>
        <w:t>术语与定义</w:t>
      </w:r>
    </w:p>
    <w:p w14:paraId="60F02666">
      <w:pPr>
        <w:keepNext w:val="0"/>
        <w:keepLines w:val="0"/>
        <w:pageBreakBefore w:val="0"/>
        <w:kinsoku/>
        <w:overflowPunct/>
        <w:topLinePunct w:val="0"/>
        <w:bidi w:val="0"/>
        <w:snapToGrid/>
        <w:ind w:left="0"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cs="仿宋_GB2312"/>
          <w:color w:val="auto"/>
          <w:sz w:val="32"/>
          <w:szCs w:val="32"/>
          <w:highlight w:val="none"/>
          <w:lang w:val="en-US" w:eastAsia="zh-CN"/>
        </w:rPr>
        <w:t>术语和定义根据甘蔗抗倒伏评价实际工作中涉及的主要内容，结合《</w:t>
      </w:r>
      <w:r>
        <w:rPr>
          <w:rFonts w:hint="eastAsia" w:ascii="仿宋_GB2312" w:hAnsi="仿宋_GB2312" w:cs="仿宋_GB2312"/>
          <w:color w:val="auto"/>
          <w:szCs w:val="32"/>
          <w:highlight w:val="none"/>
        </w:rPr>
        <w:t>GB</w:t>
      </w:r>
      <w:r>
        <w:rPr>
          <w:rFonts w:hint="eastAsia" w:ascii="仿宋_GB2312" w:hAnsi="仿宋_GB2312" w:cs="仿宋_GB2312"/>
          <w:color w:val="auto"/>
          <w:szCs w:val="32"/>
          <w:highlight w:val="none"/>
          <w:lang w:val="en-US" w:eastAsia="zh-CN"/>
        </w:rPr>
        <w:t>/</w:t>
      </w:r>
      <w:r>
        <w:rPr>
          <w:rFonts w:hint="eastAsia" w:ascii="仿宋_GB2312" w:hAnsi="仿宋_GB2312" w:cs="仿宋_GB2312"/>
          <w:color w:val="auto"/>
          <w:szCs w:val="32"/>
          <w:highlight w:val="none"/>
        </w:rPr>
        <w:t xml:space="preserve">T 5262-2008 </w:t>
      </w:r>
      <w:r>
        <w:rPr>
          <w:rFonts w:hint="eastAsia" w:ascii="仿宋_GB2312" w:hAnsi="仿宋_GB2312" w:cs="仿宋_GB2312"/>
          <w:color w:val="auto"/>
          <w:szCs w:val="32"/>
          <w:highlight w:val="none"/>
          <w:lang w:val="en-US" w:eastAsia="zh-CN"/>
        </w:rPr>
        <w:t xml:space="preserve"> </w:t>
      </w:r>
      <w:r>
        <w:rPr>
          <w:rFonts w:hint="eastAsia" w:ascii="仿宋_GB2312" w:hAnsi="仿宋_GB2312" w:cs="仿宋_GB2312"/>
          <w:color w:val="auto"/>
          <w:szCs w:val="32"/>
          <w:highlight w:val="none"/>
        </w:rPr>
        <w:t xml:space="preserve">农业机械 </w:t>
      </w:r>
      <w:r>
        <w:rPr>
          <w:rFonts w:hint="eastAsia" w:ascii="仿宋_GB2312" w:hAnsi="仿宋_GB2312" w:cs="仿宋_GB2312"/>
          <w:color w:val="auto"/>
          <w:szCs w:val="32"/>
          <w:highlight w:val="none"/>
          <w:lang w:val="en-US" w:eastAsia="zh-CN"/>
        </w:rPr>
        <w:t xml:space="preserve"> </w:t>
      </w:r>
      <w:r>
        <w:rPr>
          <w:rFonts w:hint="eastAsia" w:ascii="仿宋_GB2312" w:hAnsi="仿宋_GB2312" w:cs="仿宋_GB2312"/>
          <w:color w:val="auto"/>
          <w:szCs w:val="32"/>
          <w:highlight w:val="none"/>
        </w:rPr>
        <w:t>试验条件测定方法的一般规定</w:t>
      </w:r>
      <w:r>
        <w:rPr>
          <w:rFonts w:hint="eastAsia" w:ascii="仿宋_GB2312" w:hAnsi="仿宋_GB2312" w:cs="仿宋_GB2312"/>
          <w:color w:val="auto"/>
          <w:szCs w:val="32"/>
          <w:highlight w:val="none"/>
          <w:lang w:eastAsia="zh-CN"/>
        </w:rPr>
        <w:t>》</w:t>
      </w:r>
      <w:r>
        <w:rPr>
          <w:rFonts w:hint="eastAsia" w:ascii="仿宋_GB2312" w:hAnsi="仿宋_GB2312" w:cs="仿宋_GB2312"/>
          <w:color w:val="auto"/>
          <w:sz w:val="32"/>
          <w:szCs w:val="32"/>
          <w:highlight w:val="none"/>
          <w:lang w:val="en-US" w:eastAsia="zh-CN"/>
        </w:rPr>
        <w:t>《</w:t>
      </w:r>
      <w:r>
        <w:rPr>
          <w:rFonts w:hint="eastAsia" w:ascii="仿宋_GB2312" w:hAnsi="仿宋_GB2312" w:cs="仿宋_GB2312"/>
          <w:color w:val="auto"/>
          <w:szCs w:val="32"/>
          <w:highlight w:val="none"/>
        </w:rPr>
        <w:t>QB</w:t>
      </w:r>
      <w:r>
        <w:rPr>
          <w:rFonts w:hint="eastAsia" w:ascii="仿宋_GB2312" w:hAnsi="仿宋_GB2312" w:cs="仿宋_GB2312"/>
          <w:color w:val="auto"/>
          <w:szCs w:val="32"/>
          <w:highlight w:val="none"/>
          <w:lang w:val="en-US" w:eastAsia="zh-CN"/>
        </w:rPr>
        <w:t>/</w:t>
      </w:r>
      <w:r>
        <w:rPr>
          <w:rFonts w:hint="eastAsia" w:ascii="仿宋_GB2312" w:hAnsi="仿宋_GB2312" w:cs="仿宋_GB2312"/>
          <w:color w:val="auto"/>
          <w:szCs w:val="32"/>
          <w:highlight w:val="none"/>
        </w:rPr>
        <w:t xml:space="preserve">T 5017-2016 </w:t>
      </w:r>
      <w:r>
        <w:rPr>
          <w:rFonts w:hint="eastAsia" w:ascii="仿宋_GB2312" w:hAnsi="仿宋_GB2312" w:cs="仿宋_GB2312"/>
          <w:color w:val="auto"/>
          <w:szCs w:val="32"/>
          <w:highlight w:val="none"/>
          <w:lang w:val="en-US" w:eastAsia="zh-CN"/>
        </w:rPr>
        <w:t xml:space="preserve"> </w:t>
      </w:r>
      <w:r>
        <w:rPr>
          <w:rFonts w:hint="eastAsia" w:ascii="仿宋_GB2312" w:hAnsi="仿宋_GB2312" w:cs="仿宋_GB2312"/>
          <w:color w:val="auto"/>
          <w:szCs w:val="32"/>
          <w:highlight w:val="none"/>
        </w:rPr>
        <w:t>糖料甘蔗术语</w:t>
      </w:r>
      <w:r>
        <w:rPr>
          <w:rFonts w:hint="eastAsia" w:ascii="仿宋_GB2312" w:hAnsi="仿宋_GB2312" w:cs="仿宋_GB2312"/>
          <w:color w:val="auto"/>
          <w:szCs w:val="32"/>
          <w:highlight w:val="none"/>
          <w:lang w:eastAsia="zh-CN"/>
        </w:rPr>
        <w:t>》</w:t>
      </w:r>
      <w:r>
        <w:rPr>
          <w:rFonts w:hint="eastAsia" w:ascii="仿宋_GB2312" w:hAnsi="仿宋_GB2312" w:cs="仿宋_GB2312"/>
          <w:color w:val="auto"/>
          <w:szCs w:val="32"/>
          <w:highlight w:val="none"/>
          <w:lang w:val="en-US" w:eastAsia="zh-CN"/>
        </w:rPr>
        <w:t>等文件中涉及的甘蔗抗倒伏相关内容确定。</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14:paraId="0E3EA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42B8FB2E">
            <w:pPr>
              <w:keepNext w:val="0"/>
              <w:keepLines w:val="0"/>
              <w:pageBreakBefore w:val="0"/>
              <w:kinsoku/>
              <w:overflowPunct/>
              <w:topLinePunct w:val="0"/>
              <w:autoSpaceDE w:val="0"/>
              <w:autoSpaceDN w:val="0"/>
              <w:bidi w:val="0"/>
              <w:adjustRightInd w:val="0"/>
              <w:snapToGrid/>
              <w:spacing w:line="240" w:lineRule="auto"/>
              <w:ind w:left="0" w:leftChars="0" w:firstLine="0" w:firstLineChars="0"/>
              <w:jc w:val="center"/>
              <w:textAlignment w:val="auto"/>
              <w:rPr>
                <w:rFonts w:hint="eastAsia" w:ascii="仿宋_GB2312" w:hAnsi="仿宋_GB2312" w:eastAsia="仿宋_GB2312" w:cs="仿宋_GB2312"/>
                <w:b/>
                <w:bCs/>
                <w:color w:val="auto"/>
                <w:sz w:val="24"/>
                <w:szCs w:val="28"/>
                <w:highlight w:val="none"/>
                <w:vertAlign w:val="baseline"/>
                <w:lang w:eastAsia="zh-CN"/>
              </w:rPr>
            </w:pPr>
            <w:r>
              <w:rPr>
                <w:rFonts w:hint="eastAsia" w:ascii="仿宋_GB2312" w:hAnsi="仿宋_GB2312" w:eastAsia="仿宋_GB2312" w:cs="仿宋_GB2312"/>
                <w:b/>
                <w:bCs/>
                <w:color w:val="auto"/>
                <w:sz w:val="24"/>
                <w:szCs w:val="28"/>
                <w:highlight w:val="none"/>
                <w:vertAlign w:val="baseline"/>
                <w:lang w:eastAsia="zh-CN"/>
              </w:rPr>
              <w:drawing>
                <wp:inline distT="0" distB="0" distL="114300" distR="114300">
                  <wp:extent cx="5676900" cy="923925"/>
                  <wp:effectExtent l="0" t="0" r="0" b="9525"/>
                  <wp:docPr id="3" name="图片 3" descr="26323deb-3732-4132-aeb3-29073cf4ed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6323deb-3732-4132-aeb3-29073cf4ed71"/>
                          <pic:cNvPicPr>
                            <a:picLocks noChangeAspect="1"/>
                          </pic:cNvPicPr>
                        </pic:nvPicPr>
                        <pic:blipFill>
                          <a:blip r:embed="rId7"/>
                          <a:stretch>
                            <a:fillRect/>
                          </a:stretch>
                        </pic:blipFill>
                        <pic:spPr>
                          <a:xfrm>
                            <a:off x="0" y="0"/>
                            <a:ext cx="5676900" cy="923925"/>
                          </a:xfrm>
                          <a:prstGeom prst="rect">
                            <a:avLst/>
                          </a:prstGeom>
                        </pic:spPr>
                      </pic:pic>
                    </a:graphicData>
                  </a:graphic>
                </wp:inline>
              </w:drawing>
            </w:r>
          </w:p>
        </w:tc>
      </w:tr>
      <w:tr w14:paraId="15026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30A89A00">
            <w:pPr>
              <w:pStyle w:val="5"/>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eastAsia="仿宋_GB2312" w:cs="仿宋_GB2312"/>
                <w:b/>
                <w:bCs/>
                <w:color w:val="auto"/>
                <w:sz w:val="24"/>
                <w:szCs w:val="28"/>
                <w:highlight w:val="none"/>
                <w:vertAlign w:val="baseline"/>
                <w:lang w:val="en-US" w:eastAsia="zh-CN"/>
              </w:rPr>
            </w:pPr>
            <w:r>
              <w:rPr>
                <w:rFonts w:hint="eastAsia" w:ascii="仿宋_GB2312" w:hAnsi="仿宋_GB2312" w:cs="仿宋_GB2312"/>
                <w:b/>
                <w:bCs/>
                <w:color w:val="auto"/>
                <w:sz w:val="24"/>
                <w:szCs w:val="28"/>
                <w:highlight w:val="none"/>
                <w:vertAlign w:val="baseline"/>
                <w:lang w:val="en-US" w:eastAsia="zh-CN"/>
              </w:rPr>
              <w:t>来源：</w:t>
            </w:r>
            <w:r>
              <w:rPr>
                <w:color w:val="auto"/>
                <w:highlight w:val="none"/>
              </w:rPr>
              <w:t>QB</w:t>
            </w:r>
            <w:r>
              <w:rPr>
                <w:rFonts w:hint="eastAsia"/>
                <w:color w:val="auto"/>
                <w:highlight w:val="none"/>
                <w:lang w:val="en-US" w:eastAsia="zh-CN"/>
              </w:rPr>
              <w:t>/</w:t>
            </w:r>
            <w:r>
              <w:rPr>
                <w:color w:val="auto"/>
                <w:highlight w:val="none"/>
              </w:rPr>
              <w:t>T 5017-2016 糖料甘蔗术语</w:t>
            </w:r>
          </w:p>
        </w:tc>
      </w:tr>
      <w:tr w14:paraId="30661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0F1E2756">
            <w:pPr>
              <w:keepNext w:val="0"/>
              <w:keepLines w:val="0"/>
              <w:pageBreakBefore w:val="0"/>
              <w:kinsoku/>
              <w:overflowPunct/>
              <w:topLinePunct w:val="0"/>
              <w:autoSpaceDE w:val="0"/>
              <w:autoSpaceDN w:val="0"/>
              <w:bidi w:val="0"/>
              <w:adjustRightInd w:val="0"/>
              <w:snapToGrid/>
              <w:spacing w:line="240" w:lineRule="auto"/>
              <w:ind w:left="0" w:leftChars="0" w:firstLine="0" w:firstLineChars="0"/>
              <w:jc w:val="center"/>
              <w:textAlignment w:val="auto"/>
              <w:rPr>
                <w:rFonts w:hint="eastAsia" w:ascii="仿宋_GB2312" w:hAnsi="仿宋_GB2312" w:eastAsia="仿宋_GB2312" w:cs="仿宋_GB2312"/>
                <w:b/>
                <w:bCs/>
                <w:color w:val="auto"/>
                <w:sz w:val="24"/>
                <w:szCs w:val="28"/>
                <w:highlight w:val="none"/>
                <w:vertAlign w:val="baseline"/>
                <w:lang w:eastAsia="zh-CN"/>
              </w:rPr>
            </w:pPr>
            <w:r>
              <w:rPr>
                <w:color w:val="auto"/>
                <w:highlight w:val="none"/>
              </w:rPr>
              <w:drawing>
                <wp:inline distT="0" distB="0" distL="114300" distR="114300">
                  <wp:extent cx="5686425" cy="788670"/>
                  <wp:effectExtent l="0" t="0" r="9525"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5686425" cy="788670"/>
                          </a:xfrm>
                          <a:prstGeom prst="rect">
                            <a:avLst/>
                          </a:prstGeom>
                          <a:noFill/>
                          <a:ln>
                            <a:noFill/>
                          </a:ln>
                        </pic:spPr>
                      </pic:pic>
                    </a:graphicData>
                  </a:graphic>
                </wp:inline>
              </w:drawing>
            </w:r>
          </w:p>
        </w:tc>
      </w:tr>
      <w:tr w14:paraId="2714C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28A097F3">
            <w:pPr>
              <w:pStyle w:val="5"/>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eastAsia="仿宋_GB2312" w:cs="仿宋_GB2312"/>
                <w:b/>
                <w:bCs/>
                <w:color w:val="auto"/>
                <w:sz w:val="24"/>
                <w:szCs w:val="28"/>
                <w:highlight w:val="none"/>
                <w:vertAlign w:val="baseline"/>
                <w:lang w:val="en-US" w:eastAsia="zh-CN"/>
              </w:rPr>
            </w:pPr>
            <w:r>
              <w:rPr>
                <w:rFonts w:hint="eastAsia" w:ascii="仿宋_GB2312" w:hAnsi="仿宋_GB2312" w:cs="仿宋_GB2312"/>
                <w:b/>
                <w:bCs/>
                <w:color w:val="auto"/>
                <w:sz w:val="24"/>
                <w:szCs w:val="28"/>
                <w:highlight w:val="none"/>
                <w:vertAlign w:val="baseline"/>
                <w:lang w:val="en-US" w:eastAsia="zh-CN"/>
              </w:rPr>
              <w:t>来源：</w:t>
            </w:r>
            <w:r>
              <w:rPr>
                <w:rFonts w:hint="eastAsia"/>
                <w:color w:val="auto"/>
                <w:highlight w:val="none"/>
              </w:rPr>
              <w:t>GB</w:t>
            </w:r>
            <w:r>
              <w:rPr>
                <w:rFonts w:hint="eastAsia"/>
                <w:color w:val="auto"/>
                <w:highlight w:val="none"/>
                <w:lang w:val="en-US" w:eastAsia="zh-CN"/>
              </w:rPr>
              <w:t>/</w:t>
            </w:r>
            <w:r>
              <w:rPr>
                <w:rFonts w:hint="eastAsia"/>
                <w:color w:val="auto"/>
                <w:highlight w:val="none"/>
              </w:rPr>
              <w:t>T 5262-2008</w:t>
            </w:r>
            <w:r>
              <w:rPr>
                <w:rFonts w:hint="eastAsia"/>
                <w:color w:val="auto"/>
                <w:highlight w:val="none"/>
                <w:lang w:val="en-US" w:eastAsia="zh-CN"/>
              </w:rPr>
              <w:t xml:space="preserve"> </w:t>
            </w:r>
            <w:r>
              <w:rPr>
                <w:rFonts w:hint="eastAsia"/>
                <w:color w:val="auto"/>
                <w:highlight w:val="none"/>
              </w:rPr>
              <w:t xml:space="preserve"> 农业机械</w:t>
            </w:r>
            <w:r>
              <w:rPr>
                <w:rFonts w:hint="eastAsia"/>
                <w:color w:val="auto"/>
                <w:highlight w:val="none"/>
                <w:lang w:val="en-US" w:eastAsia="zh-CN"/>
              </w:rPr>
              <w:t xml:space="preserve"> </w:t>
            </w:r>
            <w:r>
              <w:rPr>
                <w:rFonts w:hint="eastAsia"/>
                <w:color w:val="auto"/>
                <w:highlight w:val="none"/>
              </w:rPr>
              <w:t xml:space="preserve"> 试验条件测定方法的一般规定</w:t>
            </w:r>
          </w:p>
        </w:tc>
      </w:tr>
      <w:tr w14:paraId="28943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6FECB7F0">
            <w:pPr>
              <w:pStyle w:val="5"/>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cs="仿宋_GB2312"/>
                <w:b/>
                <w:bCs/>
                <w:color w:val="auto"/>
                <w:sz w:val="24"/>
                <w:szCs w:val="28"/>
                <w:highlight w:val="none"/>
                <w:vertAlign w:val="baseline"/>
                <w:lang w:val="en-US" w:eastAsia="zh-CN"/>
              </w:rPr>
            </w:pPr>
            <w:r>
              <w:rPr>
                <w:color w:val="auto"/>
                <w:highlight w:val="none"/>
              </w:rPr>
              <w:drawing>
                <wp:inline distT="0" distB="0" distL="114300" distR="114300">
                  <wp:extent cx="4486275" cy="819150"/>
                  <wp:effectExtent l="0" t="0" r="952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4486275" cy="819150"/>
                          </a:xfrm>
                          <a:prstGeom prst="rect">
                            <a:avLst/>
                          </a:prstGeom>
                          <a:noFill/>
                          <a:ln>
                            <a:noFill/>
                          </a:ln>
                        </pic:spPr>
                      </pic:pic>
                    </a:graphicData>
                  </a:graphic>
                </wp:inline>
              </w:drawing>
            </w:r>
          </w:p>
        </w:tc>
      </w:tr>
      <w:tr w14:paraId="10A12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796FAA75">
            <w:pPr>
              <w:pStyle w:val="5"/>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cs="仿宋_GB2312"/>
                <w:b/>
                <w:bCs/>
                <w:color w:val="auto"/>
                <w:sz w:val="24"/>
                <w:szCs w:val="28"/>
                <w:highlight w:val="none"/>
                <w:vertAlign w:val="baseline"/>
                <w:lang w:val="en-US" w:eastAsia="zh-CN"/>
              </w:rPr>
            </w:pPr>
            <w:r>
              <w:rPr>
                <w:rFonts w:hint="eastAsia" w:ascii="仿宋_GB2312" w:hAnsi="仿宋_GB2312" w:cs="仿宋_GB2312"/>
                <w:b/>
                <w:bCs/>
                <w:color w:val="auto"/>
                <w:sz w:val="24"/>
                <w:szCs w:val="28"/>
                <w:highlight w:val="none"/>
                <w:vertAlign w:val="baseline"/>
                <w:lang w:val="en-US" w:eastAsia="zh-CN"/>
              </w:rPr>
              <w:t>来源：</w:t>
            </w:r>
            <w:r>
              <w:rPr>
                <w:rFonts w:hint="eastAsia"/>
                <w:color w:val="auto"/>
                <w:highlight w:val="none"/>
              </w:rPr>
              <w:t>DB45</w:t>
            </w:r>
            <w:r>
              <w:rPr>
                <w:rFonts w:hint="eastAsia"/>
                <w:color w:val="auto"/>
                <w:highlight w:val="none"/>
                <w:lang w:val="en-US" w:eastAsia="zh-CN"/>
              </w:rPr>
              <w:t>/</w:t>
            </w:r>
            <w:r>
              <w:rPr>
                <w:rFonts w:hint="eastAsia"/>
                <w:color w:val="auto"/>
                <w:highlight w:val="none"/>
              </w:rPr>
              <w:t>T 2339</w:t>
            </w:r>
            <w:r>
              <w:rPr>
                <w:rFonts w:hint="eastAsia"/>
                <w:color w:val="auto"/>
                <w:highlight w:val="none"/>
                <w:lang w:val="en-US" w:eastAsia="zh-CN"/>
              </w:rPr>
              <w:t xml:space="preserve">-2021 </w:t>
            </w:r>
            <w:r>
              <w:rPr>
                <w:rFonts w:hint="eastAsia"/>
                <w:color w:val="auto"/>
                <w:highlight w:val="none"/>
              </w:rPr>
              <w:t xml:space="preserve"> 甘蔗实生苗培育技术规程</w:t>
            </w:r>
          </w:p>
        </w:tc>
      </w:tr>
    </w:tbl>
    <w:p w14:paraId="4A934845">
      <w:pPr>
        <w:pStyle w:val="29"/>
        <w:keepNext w:val="0"/>
        <w:keepLines w:val="0"/>
        <w:pageBreakBefore w:val="0"/>
        <w:numPr>
          <w:ilvl w:val="0"/>
          <w:numId w:val="0"/>
        </w:numPr>
        <w:kinsoku/>
        <w:overflowPunct/>
        <w:topLinePunct w:val="0"/>
        <w:autoSpaceDE/>
        <w:autoSpaceDN/>
        <w:bidi w:val="0"/>
        <w:adjustRightInd w:val="0"/>
        <w:snapToGrid/>
        <w:spacing w:line="560" w:lineRule="exact"/>
        <w:ind w:left="0" w:firstLine="643" w:firstLineChars="200"/>
        <w:jc w:val="left"/>
        <w:textAlignment w:val="auto"/>
        <w:rPr>
          <w:rFonts w:hint="default" w:ascii="仿宋_GB2312" w:hAnsi="仿宋_GB2312" w:eastAsia="仿宋_GB2312" w:cs="仿宋_GB2312"/>
          <w:b/>
          <w:color w:val="auto"/>
          <w:sz w:val="32"/>
          <w:szCs w:val="32"/>
          <w:highlight w:val="none"/>
          <w:lang w:val="en-US" w:eastAsia="zh-CN"/>
        </w:rPr>
      </w:pPr>
      <w:r>
        <w:rPr>
          <w:rFonts w:hint="default" w:ascii="仿宋_GB2312" w:hAnsi="仿宋_GB2312" w:eastAsia="仿宋_GB2312" w:cs="仿宋_GB2312"/>
          <w:b/>
          <w:color w:val="auto"/>
          <w:kern w:val="2"/>
          <w:sz w:val="32"/>
          <w:szCs w:val="32"/>
          <w:highlight w:val="none"/>
          <w:lang w:val="zh-CN" w:eastAsia="zh-CN" w:bidi="ar-SA"/>
        </w:rPr>
        <w:t>（</w:t>
      </w:r>
      <w:r>
        <w:rPr>
          <w:rFonts w:hint="eastAsia" w:ascii="仿宋_GB2312" w:hAnsi="仿宋_GB2312" w:cs="仿宋_GB2312"/>
          <w:b/>
          <w:color w:val="auto"/>
          <w:kern w:val="2"/>
          <w:sz w:val="32"/>
          <w:szCs w:val="32"/>
          <w:highlight w:val="none"/>
          <w:lang w:val="en-US" w:eastAsia="zh-CN" w:bidi="ar-SA"/>
        </w:rPr>
        <w:t>二</w:t>
      </w:r>
      <w:r>
        <w:rPr>
          <w:rFonts w:hint="default" w:ascii="仿宋_GB2312" w:hAnsi="仿宋_GB2312" w:eastAsia="仿宋_GB2312" w:cs="仿宋_GB2312"/>
          <w:b/>
          <w:color w:val="auto"/>
          <w:kern w:val="2"/>
          <w:sz w:val="32"/>
          <w:szCs w:val="32"/>
          <w:highlight w:val="none"/>
          <w:lang w:val="zh-CN" w:eastAsia="zh-CN" w:bidi="ar-SA"/>
        </w:rPr>
        <w:t>）</w:t>
      </w:r>
      <w:r>
        <w:rPr>
          <w:rFonts w:hint="eastAsia" w:ascii="仿宋_GB2312" w:hAnsi="仿宋_GB2312" w:cs="仿宋_GB2312"/>
          <w:b/>
          <w:color w:val="auto"/>
          <w:sz w:val="32"/>
          <w:szCs w:val="32"/>
          <w:highlight w:val="none"/>
          <w:lang w:val="en-US" w:eastAsia="zh-CN"/>
        </w:rPr>
        <w:t>评价方法</w:t>
      </w:r>
    </w:p>
    <w:p w14:paraId="3495D886">
      <w:pPr>
        <w:keepNext w:val="0"/>
        <w:keepLines w:val="0"/>
        <w:pageBreakBefore w:val="0"/>
        <w:kinsoku/>
        <w:overflowPunct/>
        <w:topLinePunct w:val="0"/>
        <w:bidi w:val="0"/>
        <w:snapToGrid/>
        <w:ind w:left="0" w:firstLine="640" w:firstLineChars="200"/>
        <w:textAlignment w:val="auto"/>
        <w:rPr>
          <w:rFonts w:hint="default" w:ascii="仿宋_GB2312" w:hAnsi="仿宋_GB2312" w:cs="仿宋_GB2312"/>
          <w:b w:val="0"/>
          <w:bCs w:val="0"/>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起草单位根据甘蔗抗倒伏评价工作多年经验以及推广应用情况，对甘蔗抗倒伏评价方法进行试验验证。</w:t>
      </w:r>
    </w:p>
    <w:p w14:paraId="2C702630">
      <w:pPr>
        <w:keepNext w:val="0"/>
        <w:keepLines w:val="0"/>
        <w:pageBreakBefore w:val="0"/>
        <w:kinsoku/>
        <w:overflowPunct/>
        <w:topLinePunct w:val="0"/>
        <w:bidi w:val="0"/>
        <w:snapToGrid/>
        <w:ind w:left="0" w:firstLine="643" w:firstLineChars="200"/>
        <w:textAlignment w:val="auto"/>
        <w:rPr>
          <w:rFonts w:hint="default" w:ascii="仿宋_GB2312" w:hAnsi="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1、甘蔗品种</w:t>
      </w:r>
    </w:p>
    <w:p w14:paraId="7CED614A">
      <w:pPr>
        <w:keepNext w:val="0"/>
        <w:keepLines w:val="0"/>
        <w:pageBreakBefore w:val="0"/>
        <w:kinsoku/>
        <w:overflowPunct/>
        <w:topLinePunct w:val="0"/>
        <w:bidi w:val="0"/>
        <w:snapToGrid/>
        <w:ind w:left="0" w:firstLine="643"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试验材料：</w:t>
      </w:r>
      <w:r>
        <w:rPr>
          <w:rFonts w:hint="eastAsia" w:ascii="仿宋_GB2312" w:hAnsi="仿宋_GB2312" w:cs="仿宋_GB2312"/>
          <w:color w:val="auto"/>
          <w:sz w:val="32"/>
          <w:szCs w:val="32"/>
          <w:highlight w:val="none"/>
          <w:lang w:val="en-US" w:eastAsia="zh-CN"/>
        </w:rPr>
        <w:t>选取经过多年田间表现观察确定的倒伏性不同的4个甘蔗品种（系）作为材料。</w:t>
      </w:r>
    </w:p>
    <w:p w14:paraId="6CAB07B6">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桂辐98-296（GF98-296），为广西农业科学院甘蔗研究所通过辐射诱变筛选的一个品种，特点是高产、高糖、萌芽率和分蘖率较高，抗倒伏能力较差；新台糖22号（ROC22），目前广西乃至全国的甘蔗主栽品种，具有高产、高糖、脱叶性好的特点，抗倒伏能力中等；桂糖10-2003（GT10-2003），为广西农业科学院甘蔗研究所选育的一个表现较好的品系，已参加2017-2019广西甘蔗品种区试试验，特点是早熟、特高糖，蔗茎比重大，脱叶性好，抗倒伏能力中等；桂糖42号（GT42），为广西农业科学院甘蔗研究所选育，已成为广西主栽品种之一，脱叶性好、早熟高糖，抗倒伏能力强。不同甘蔗品种的单株倒伏外观见图1。</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87"/>
        <w:gridCol w:w="4587"/>
      </w:tblGrid>
      <w:tr w14:paraId="73B5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87" w:type="dxa"/>
            <w:vAlign w:val="center"/>
          </w:tcPr>
          <w:p w14:paraId="0BDB9AD4">
            <w:pPr>
              <w:keepNext w:val="0"/>
              <w:keepLines w:val="0"/>
              <w:pageBreakBefore w:val="0"/>
              <w:kinsoku/>
              <w:overflowPunct/>
              <w:topLinePunct w:val="0"/>
              <w:autoSpaceDE w:val="0"/>
              <w:autoSpaceDN w:val="0"/>
              <w:bidi w:val="0"/>
              <w:adjustRightInd w:val="0"/>
              <w:snapToGrid/>
              <w:spacing w:line="240" w:lineRule="auto"/>
              <w:ind w:left="0" w:leftChars="0" w:firstLine="0" w:firstLineChars="0"/>
              <w:jc w:val="center"/>
              <w:textAlignment w:val="auto"/>
              <w:rPr>
                <w:rFonts w:hint="eastAsia" w:ascii="仿宋_GB2312" w:hAnsi="仿宋_GB2312" w:eastAsia="仿宋_GB2312" w:cs="仿宋_GB2312"/>
                <w:b/>
                <w:bCs/>
                <w:color w:val="auto"/>
                <w:sz w:val="24"/>
                <w:szCs w:val="28"/>
                <w:highlight w:val="none"/>
                <w:vertAlign w:val="baseline"/>
                <w:lang w:eastAsia="zh-CN"/>
              </w:rPr>
            </w:pPr>
            <w:r>
              <w:rPr>
                <w:rFonts w:eastAsia="黑体"/>
                <w:color w:val="auto"/>
                <w:sz w:val="24"/>
                <w:highlight w:val="none"/>
              </w:rPr>
              <w:drawing>
                <wp:inline distT="0" distB="0" distL="0" distR="0">
                  <wp:extent cx="1979930" cy="2146935"/>
                  <wp:effectExtent l="0" t="0" r="1270" b="5715"/>
                  <wp:docPr id="7501166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116694" name="图片 3"/>
                          <pic:cNvPicPr>
                            <a:picLocks noChangeAspect="1" noChangeArrowheads="1"/>
                          </pic:cNvPicPr>
                        </pic:nvPicPr>
                        <pic:blipFill>
                          <a:blip r:embed="rId10"/>
                          <a:srcRect/>
                          <a:stretch>
                            <a:fillRect/>
                          </a:stretch>
                        </pic:blipFill>
                        <pic:spPr>
                          <a:xfrm>
                            <a:off x="0" y="0"/>
                            <a:ext cx="1979930" cy="2146935"/>
                          </a:xfrm>
                          <a:prstGeom prst="rect">
                            <a:avLst/>
                          </a:prstGeom>
                          <a:noFill/>
                          <a:ln>
                            <a:noFill/>
                          </a:ln>
                        </pic:spPr>
                      </pic:pic>
                    </a:graphicData>
                  </a:graphic>
                </wp:inline>
              </w:drawing>
            </w:r>
          </w:p>
        </w:tc>
        <w:tc>
          <w:tcPr>
            <w:tcW w:w="4587" w:type="dxa"/>
            <w:vAlign w:val="center"/>
          </w:tcPr>
          <w:p w14:paraId="6221950A">
            <w:pPr>
              <w:keepNext w:val="0"/>
              <w:keepLines w:val="0"/>
              <w:pageBreakBefore w:val="0"/>
              <w:kinsoku/>
              <w:overflowPunct/>
              <w:topLinePunct w:val="0"/>
              <w:autoSpaceDE w:val="0"/>
              <w:autoSpaceDN w:val="0"/>
              <w:bidi w:val="0"/>
              <w:adjustRightInd w:val="0"/>
              <w:snapToGrid/>
              <w:spacing w:line="240" w:lineRule="auto"/>
              <w:ind w:left="0" w:leftChars="0" w:firstLine="0" w:firstLineChars="0"/>
              <w:jc w:val="center"/>
              <w:textAlignment w:val="auto"/>
              <w:rPr>
                <w:rFonts w:hint="eastAsia" w:ascii="仿宋_GB2312" w:hAnsi="仿宋_GB2312" w:eastAsia="仿宋_GB2312" w:cs="仿宋_GB2312"/>
                <w:b/>
                <w:bCs/>
                <w:color w:val="auto"/>
                <w:sz w:val="24"/>
                <w:szCs w:val="28"/>
                <w:highlight w:val="none"/>
                <w:vertAlign w:val="baseline"/>
                <w:lang w:eastAsia="zh-CN"/>
              </w:rPr>
            </w:pPr>
            <w:r>
              <w:rPr>
                <w:rFonts w:eastAsia="黑体"/>
                <w:color w:val="auto"/>
                <w:sz w:val="24"/>
                <w:highlight w:val="none"/>
              </w:rPr>
              <w:drawing>
                <wp:inline distT="0" distB="0" distL="0" distR="0">
                  <wp:extent cx="1979930" cy="2127250"/>
                  <wp:effectExtent l="0" t="0" r="1270" b="6350"/>
                  <wp:docPr id="153870129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701295" name="图片 2"/>
                          <pic:cNvPicPr>
                            <a:picLocks noChangeAspect="1" noChangeArrowheads="1"/>
                          </pic:cNvPicPr>
                        </pic:nvPicPr>
                        <pic:blipFill>
                          <a:blip r:embed="rId11"/>
                          <a:srcRect/>
                          <a:stretch>
                            <a:fillRect/>
                          </a:stretch>
                        </pic:blipFill>
                        <pic:spPr>
                          <a:xfrm>
                            <a:off x="0" y="0"/>
                            <a:ext cx="1979930" cy="2127250"/>
                          </a:xfrm>
                          <a:prstGeom prst="rect">
                            <a:avLst/>
                          </a:prstGeom>
                          <a:noFill/>
                          <a:ln>
                            <a:noFill/>
                          </a:ln>
                        </pic:spPr>
                      </pic:pic>
                    </a:graphicData>
                  </a:graphic>
                </wp:inline>
              </w:drawing>
            </w:r>
          </w:p>
        </w:tc>
      </w:tr>
      <w:tr w14:paraId="0506F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gridSpan w:val="2"/>
            <w:vAlign w:val="center"/>
          </w:tcPr>
          <w:p w14:paraId="6965D204">
            <w:pPr>
              <w:pStyle w:val="5"/>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cs="仿宋_GB2312"/>
                <w:b/>
                <w:bCs/>
                <w:color w:val="auto"/>
                <w:sz w:val="24"/>
                <w:szCs w:val="28"/>
                <w:highlight w:val="none"/>
                <w:vertAlign w:val="baseline"/>
                <w:lang w:val="en-US" w:eastAsia="zh-CN"/>
              </w:rPr>
            </w:pPr>
            <w:r>
              <w:rPr>
                <w:rFonts w:hint="eastAsia" w:ascii="仿宋_GB2312" w:hAnsi="仿宋_GB2312" w:cs="仿宋_GB2312"/>
                <w:b/>
                <w:bCs/>
                <w:color w:val="auto"/>
                <w:sz w:val="24"/>
                <w:szCs w:val="28"/>
                <w:highlight w:val="none"/>
                <w:vertAlign w:val="baseline"/>
                <w:lang w:val="en-US" w:eastAsia="zh-CN"/>
              </w:rPr>
              <w:t>图1 不同甘蔗品种的单株倒伏外观</w:t>
            </w:r>
          </w:p>
        </w:tc>
      </w:tr>
    </w:tbl>
    <w:p w14:paraId="785EFD61">
      <w:pPr>
        <w:spacing w:line="360" w:lineRule="auto"/>
        <w:ind w:firstLine="643" w:firstLineChars="200"/>
        <w:rPr>
          <w:color w:val="auto"/>
          <w:highlight w:val="none"/>
        </w:rPr>
      </w:pPr>
      <w:r>
        <w:rPr>
          <w:rFonts w:hint="eastAsia"/>
          <w:b/>
          <w:bCs/>
          <w:color w:val="auto"/>
          <w:highlight w:val="none"/>
        </w:rPr>
        <w:t>试验设计：</w:t>
      </w:r>
      <w:r>
        <w:rPr>
          <w:color w:val="auto"/>
          <w:highlight w:val="none"/>
        </w:rPr>
        <w:t>试验在广西</w:t>
      </w:r>
      <w:r>
        <w:rPr>
          <w:rFonts w:hint="eastAsia"/>
          <w:color w:val="auto"/>
          <w:highlight w:val="none"/>
        </w:rPr>
        <w:t>农业科学</w:t>
      </w:r>
      <w:r>
        <w:rPr>
          <w:color w:val="auto"/>
          <w:highlight w:val="none"/>
        </w:rPr>
        <w:t>院甘蔗研究所（22°51′ N，108°14′ E）大田条件下进行，试验田土壤基本性状见表2。新植蔗于2016年3月2日种植，2017年2月25日砍收后留宿根。试验采用随机区组设计，3次重复，4行区，行长7 m，行距1.2 m，每行种植88芽。基肥每公顷施复合肥（N-P2O5-K2O = 25-10-16，总有效成分</w:t>
      </w:r>
      <w:r>
        <w:rPr>
          <w:rFonts w:hint="eastAsia"/>
          <w:color w:val="auto"/>
          <w:highlight w:val="none"/>
        </w:rPr>
        <w:t>≥</w:t>
      </w:r>
      <w:r>
        <w:rPr>
          <w:color w:val="auto"/>
          <w:highlight w:val="none"/>
        </w:rPr>
        <w:t>51%）750 kg；追肥于苗期每公顷施复合肥375 kg、尿素（N</w:t>
      </w:r>
      <w:r>
        <w:rPr>
          <w:rFonts w:hint="eastAsia"/>
          <w:color w:val="auto"/>
          <w:highlight w:val="none"/>
        </w:rPr>
        <w:t>≥</w:t>
      </w:r>
      <w:r>
        <w:rPr>
          <w:color w:val="auto"/>
          <w:highlight w:val="none"/>
        </w:rPr>
        <w:t>46%）150 kg。其他管理措施与大田生产一致。</w:t>
      </w:r>
    </w:p>
    <w:p w14:paraId="1B61B1EB">
      <w:pPr>
        <w:pStyle w:val="11"/>
        <w:rPr>
          <w:rFonts w:hint="eastAsia" w:ascii="仿宋_GB2312" w:hAnsi="仿宋_GB2312" w:eastAsia="仿宋_GB2312" w:cs="仿宋_GB2312"/>
          <w:b/>
          <w:bCs/>
          <w:color w:val="auto"/>
          <w:kern w:val="0"/>
          <w:sz w:val="24"/>
          <w:szCs w:val="28"/>
          <w:highlight w:val="none"/>
          <w:vertAlign w:val="baseline"/>
          <w:lang w:val="en-US" w:eastAsia="zh-CN" w:bidi="ar-SA"/>
        </w:rPr>
      </w:pPr>
    </w:p>
    <w:p w14:paraId="6D9EEFBA">
      <w:pPr>
        <w:pStyle w:val="11"/>
        <w:rPr>
          <w:rFonts w:hint="eastAsia" w:ascii="仿宋_GB2312" w:hAnsi="仿宋_GB2312" w:eastAsia="仿宋_GB2312" w:cs="仿宋_GB2312"/>
          <w:b/>
          <w:bCs/>
          <w:color w:val="auto"/>
          <w:kern w:val="0"/>
          <w:sz w:val="24"/>
          <w:szCs w:val="28"/>
          <w:highlight w:val="none"/>
          <w:vertAlign w:val="baseline"/>
          <w:lang w:val="en-US" w:eastAsia="zh-CN" w:bidi="ar-SA"/>
        </w:rPr>
      </w:pPr>
      <w:r>
        <w:rPr>
          <w:rFonts w:hint="eastAsia" w:ascii="仿宋_GB2312" w:hAnsi="仿宋_GB2312" w:eastAsia="仿宋_GB2312" w:cs="仿宋_GB2312"/>
          <w:b/>
          <w:bCs/>
          <w:color w:val="auto"/>
          <w:kern w:val="0"/>
          <w:sz w:val="24"/>
          <w:szCs w:val="28"/>
          <w:highlight w:val="none"/>
          <w:vertAlign w:val="baseline"/>
          <w:lang w:val="en-US" w:eastAsia="zh-CN" w:bidi="ar-SA"/>
        </w:rPr>
        <w:t>表1 试验田土壤基本性状</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582"/>
        <w:gridCol w:w="1998"/>
        <w:gridCol w:w="1116"/>
        <w:gridCol w:w="2064"/>
        <w:gridCol w:w="2182"/>
      </w:tblGrid>
      <w:tr w14:paraId="3364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pct"/>
            <w:vAlign w:val="center"/>
          </w:tcPr>
          <w:p w14:paraId="055FB19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土壤类型</w:t>
            </w:r>
          </w:p>
        </w:tc>
        <w:tc>
          <w:tcPr>
            <w:tcW w:w="317" w:type="pct"/>
            <w:vAlign w:val="center"/>
          </w:tcPr>
          <w:p w14:paraId="432C29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pH</w:t>
            </w:r>
          </w:p>
        </w:tc>
        <w:tc>
          <w:tcPr>
            <w:tcW w:w="1089" w:type="pct"/>
            <w:vAlign w:val="center"/>
          </w:tcPr>
          <w:p w14:paraId="104A59F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有机质(g·kg</w:t>
            </w:r>
            <w:r>
              <w:rPr>
                <w:rFonts w:hint="eastAsia" w:ascii="仿宋_GB2312" w:hAnsi="仿宋_GB2312" w:eastAsia="仿宋_GB2312" w:cs="仿宋_GB2312"/>
                <w:b/>
                <w:bCs/>
                <w:color w:val="auto"/>
                <w:sz w:val="24"/>
                <w:szCs w:val="24"/>
                <w:highlight w:val="none"/>
                <w:vertAlign w:val="superscript"/>
              </w:rPr>
              <w:t>-1</w:t>
            </w:r>
            <w:r>
              <w:rPr>
                <w:rFonts w:hint="eastAsia" w:ascii="仿宋_GB2312" w:hAnsi="仿宋_GB2312" w:eastAsia="仿宋_GB2312" w:cs="仿宋_GB2312"/>
                <w:b/>
                <w:bCs/>
                <w:color w:val="auto"/>
                <w:sz w:val="24"/>
                <w:szCs w:val="24"/>
                <w:highlight w:val="none"/>
              </w:rPr>
              <w:t>)</w:t>
            </w:r>
          </w:p>
        </w:tc>
        <w:tc>
          <w:tcPr>
            <w:tcW w:w="608" w:type="pct"/>
            <w:vAlign w:val="center"/>
          </w:tcPr>
          <w:p w14:paraId="0F69D01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全氮(%)</w:t>
            </w:r>
          </w:p>
        </w:tc>
        <w:tc>
          <w:tcPr>
            <w:tcW w:w="1125" w:type="pct"/>
            <w:vAlign w:val="center"/>
          </w:tcPr>
          <w:p w14:paraId="6961C6A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速效磷(mg·kg</w:t>
            </w:r>
            <w:r>
              <w:rPr>
                <w:rFonts w:hint="eastAsia" w:ascii="仿宋_GB2312" w:hAnsi="仿宋_GB2312" w:eastAsia="仿宋_GB2312" w:cs="仿宋_GB2312"/>
                <w:b/>
                <w:bCs/>
                <w:color w:val="auto"/>
                <w:sz w:val="24"/>
                <w:szCs w:val="24"/>
                <w:highlight w:val="none"/>
                <w:vertAlign w:val="superscript"/>
              </w:rPr>
              <w:t>-1</w:t>
            </w:r>
            <w:r>
              <w:rPr>
                <w:rFonts w:hint="eastAsia" w:ascii="仿宋_GB2312" w:hAnsi="仿宋_GB2312" w:eastAsia="仿宋_GB2312" w:cs="仿宋_GB2312"/>
                <w:b/>
                <w:bCs/>
                <w:color w:val="auto"/>
                <w:sz w:val="24"/>
                <w:szCs w:val="24"/>
                <w:highlight w:val="none"/>
              </w:rPr>
              <w:t>)</w:t>
            </w:r>
          </w:p>
        </w:tc>
        <w:tc>
          <w:tcPr>
            <w:tcW w:w="1189" w:type="pct"/>
            <w:vAlign w:val="center"/>
          </w:tcPr>
          <w:p w14:paraId="670E872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速效钾(mg·kg</w:t>
            </w:r>
            <w:r>
              <w:rPr>
                <w:rFonts w:hint="eastAsia" w:ascii="仿宋_GB2312" w:hAnsi="仿宋_GB2312" w:eastAsia="仿宋_GB2312" w:cs="仿宋_GB2312"/>
                <w:b/>
                <w:bCs/>
                <w:color w:val="auto"/>
                <w:sz w:val="24"/>
                <w:szCs w:val="24"/>
                <w:highlight w:val="none"/>
                <w:vertAlign w:val="superscript"/>
              </w:rPr>
              <w:t>-1</w:t>
            </w:r>
            <w:r>
              <w:rPr>
                <w:rFonts w:hint="eastAsia" w:ascii="仿宋_GB2312" w:hAnsi="仿宋_GB2312" w:eastAsia="仿宋_GB2312" w:cs="仿宋_GB2312"/>
                <w:b/>
                <w:bCs/>
                <w:color w:val="auto"/>
                <w:sz w:val="24"/>
                <w:szCs w:val="24"/>
                <w:highlight w:val="none"/>
              </w:rPr>
              <w:t>)</w:t>
            </w:r>
          </w:p>
        </w:tc>
      </w:tr>
      <w:tr w14:paraId="2FA0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pct"/>
            <w:vAlign w:val="center"/>
          </w:tcPr>
          <w:p w14:paraId="360EE30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粘壤土</w:t>
            </w:r>
          </w:p>
        </w:tc>
        <w:tc>
          <w:tcPr>
            <w:tcW w:w="317" w:type="pct"/>
            <w:vAlign w:val="center"/>
          </w:tcPr>
          <w:p w14:paraId="7428931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5.7</w:t>
            </w:r>
          </w:p>
        </w:tc>
        <w:tc>
          <w:tcPr>
            <w:tcW w:w="1089" w:type="pct"/>
            <w:vAlign w:val="center"/>
          </w:tcPr>
          <w:p w14:paraId="53A04D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20.1</w:t>
            </w:r>
          </w:p>
        </w:tc>
        <w:tc>
          <w:tcPr>
            <w:tcW w:w="608" w:type="pct"/>
            <w:vAlign w:val="center"/>
          </w:tcPr>
          <w:p w14:paraId="47CBCC8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0.999</w:t>
            </w:r>
          </w:p>
        </w:tc>
        <w:tc>
          <w:tcPr>
            <w:tcW w:w="1125" w:type="pct"/>
            <w:vAlign w:val="center"/>
          </w:tcPr>
          <w:p w14:paraId="70711FC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31.7</w:t>
            </w:r>
          </w:p>
        </w:tc>
        <w:tc>
          <w:tcPr>
            <w:tcW w:w="1189" w:type="pct"/>
            <w:vAlign w:val="center"/>
          </w:tcPr>
          <w:p w14:paraId="3EDC972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53.8</w:t>
            </w:r>
          </w:p>
        </w:tc>
      </w:tr>
    </w:tbl>
    <w:p w14:paraId="1410BEB4">
      <w:pPr>
        <w:keepNext w:val="0"/>
        <w:keepLines w:val="0"/>
        <w:pageBreakBefore w:val="0"/>
        <w:kinsoku/>
        <w:overflowPunct/>
        <w:topLinePunct w:val="0"/>
        <w:bidi w:val="0"/>
        <w:snapToGrid/>
        <w:ind w:left="0" w:firstLine="643" w:firstLineChars="200"/>
        <w:textAlignment w:val="auto"/>
        <w:rPr>
          <w:rFonts w:hint="default" w:ascii="仿宋_GB2312" w:hAnsi="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2、甘蔗实生苗</w:t>
      </w:r>
    </w:p>
    <w:p w14:paraId="28E80CB3">
      <w:pPr>
        <w:keepNext w:val="0"/>
        <w:keepLines w:val="0"/>
        <w:pageBreakBefore w:val="0"/>
        <w:kinsoku/>
        <w:overflowPunct/>
        <w:topLinePunct w:val="0"/>
        <w:bidi w:val="0"/>
        <w:snapToGrid/>
        <w:ind w:left="0" w:firstLine="643"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试验材料：</w:t>
      </w:r>
      <w:r>
        <w:rPr>
          <w:rFonts w:hint="eastAsia" w:ascii="仿宋_GB2312" w:hAnsi="仿宋_GB2312" w:cs="仿宋_GB2312"/>
          <w:color w:val="auto"/>
          <w:sz w:val="32"/>
          <w:szCs w:val="32"/>
          <w:highlight w:val="none"/>
          <w:lang w:val="en-US" w:eastAsia="zh-CN"/>
        </w:rPr>
        <w:t>广西农业科学院甘蔗研究所2017年度的实生苗材料，随机选取组合30个，其中包括母本28个，父本31个，以ROC 22为对照材料，亲本及组合信息见表2。</w:t>
      </w:r>
    </w:p>
    <w:p w14:paraId="7B007157">
      <w:pPr>
        <w:pStyle w:val="11"/>
        <w:rPr>
          <w:rFonts w:hint="eastAsia" w:ascii="仿宋_GB2312" w:hAnsi="仿宋_GB2312" w:eastAsia="仿宋_GB2312" w:cs="仿宋_GB2312"/>
          <w:b/>
          <w:bCs/>
          <w:color w:val="auto"/>
          <w:kern w:val="0"/>
          <w:sz w:val="24"/>
          <w:szCs w:val="28"/>
          <w:highlight w:val="none"/>
          <w:vertAlign w:val="baseline"/>
          <w:lang w:val="en-US" w:eastAsia="zh-CN" w:bidi="ar-SA"/>
        </w:rPr>
      </w:pPr>
      <w:r>
        <w:rPr>
          <w:rFonts w:hint="eastAsia" w:ascii="仿宋_GB2312" w:hAnsi="仿宋_GB2312" w:eastAsia="仿宋_GB2312" w:cs="仿宋_GB2312"/>
          <w:b/>
          <w:bCs/>
          <w:color w:val="auto"/>
          <w:kern w:val="0"/>
          <w:sz w:val="24"/>
          <w:szCs w:val="28"/>
          <w:highlight w:val="none"/>
          <w:vertAlign w:val="baseline"/>
          <w:lang w:val="en-US" w:eastAsia="zh-CN" w:bidi="ar-SA"/>
        </w:rPr>
        <w:t>表2 参试甘蔗组合</w:t>
      </w:r>
    </w:p>
    <w:tbl>
      <w:tblPr>
        <w:tblStyle w:val="6"/>
        <w:tblW w:w="46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2998"/>
        <w:gridCol w:w="1279"/>
        <w:gridCol w:w="3001"/>
      </w:tblGrid>
      <w:tr w14:paraId="0A52B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blHeader/>
          <w:jc w:val="center"/>
        </w:trPr>
        <w:tc>
          <w:tcPr>
            <w:tcW w:w="729" w:type="pct"/>
            <w:vAlign w:val="center"/>
          </w:tcPr>
          <w:p w14:paraId="5B091BE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组合编号</w:t>
            </w:r>
          </w:p>
        </w:tc>
        <w:tc>
          <w:tcPr>
            <w:tcW w:w="1758" w:type="pct"/>
            <w:vAlign w:val="center"/>
          </w:tcPr>
          <w:p w14:paraId="07804C2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亲本组合</w:t>
            </w:r>
          </w:p>
        </w:tc>
        <w:tc>
          <w:tcPr>
            <w:tcW w:w="750" w:type="pct"/>
            <w:vAlign w:val="center"/>
          </w:tcPr>
          <w:p w14:paraId="5FF648D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组合编号</w:t>
            </w:r>
          </w:p>
        </w:tc>
        <w:tc>
          <w:tcPr>
            <w:tcW w:w="1760" w:type="pct"/>
            <w:vAlign w:val="center"/>
          </w:tcPr>
          <w:p w14:paraId="06551D5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亲本组合</w:t>
            </w:r>
          </w:p>
        </w:tc>
      </w:tr>
      <w:tr w14:paraId="52FD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vAlign w:val="center"/>
          </w:tcPr>
          <w:p w14:paraId="2302B3A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142</w:t>
            </w:r>
          </w:p>
        </w:tc>
        <w:tc>
          <w:tcPr>
            <w:tcW w:w="1758" w:type="pct"/>
            <w:vAlign w:val="center"/>
          </w:tcPr>
          <w:p w14:paraId="39B2BFD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CP07-1618×YG22</w:t>
            </w:r>
          </w:p>
        </w:tc>
        <w:tc>
          <w:tcPr>
            <w:tcW w:w="750" w:type="pct"/>
            <w:vAlign w:val="center"/>
          </w:tcPr>
          <w:p w14:paraId="19779C5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975</w:t>
            </w:r>
          </w:p>
        </w:tc>
        <w:tc>
          <w:tcPr>
            <w:tcW w:w="1760" w:type="pct"/>
            <w:vAlign w:val="center"/>
          </w:tcPr>
          <w:p w14:paraId="1CB47B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GT05-ym3×LC03-1137</w:t>
            </w:r>
          </w:p>
        </w:tc>
      </w:tr>
      <w:tr w14:paraId="0D1F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vAlign w:val="center"/>
          </w:tcPr>
          <w:p w14:paraId="656B93A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229</w:t>
            </w:r>
          </w:p>
        </w:tc>
        <w:tc>
          <w:tcPr>
            <w:tcW w:w="1758" w:type="pct"/>
            <w:vAlign w:val="center"/>
          </w:tcPr>
          <w:p w14:paraId="6B0B7E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GT04-112×YC90-33</w:t>
            </w:r>
          </w:p>
        </w:tc>
        <w:tc>
          <w:tcPr>
            <w:tcW w:w="750" w:type="pct"/>
            <w:vAlign w:val="center"/>
          </w:tcPr>
          <w:p w14:paraId="330E323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977</w:t>
            </w:r>
          </w:p>
        </w:tc>
        <w:tc>
          <w:tcPr>
            <w:tcW w:w="1760" w:type="pct"/>
            <w:vAlign w:val="center"/>
          </w:tcPr>
          <w:p w14:paraId="42A9F4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YT94-128×GT09-1163</w:t>
            </w:r>
          </w:p>
        </w:tc>
      </w:tr>
      <w:tr w14:paraId="5D37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vAlign w:val="center"/>
          </w:tcPr>
          <w:p w14:paraId="00D307A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283</w:t>
            </w:r>
          </w:p>
        </w:tc>
        <w:tc>
          <w:tcPr>
            <w:tcW w:w="1758" w:type="pct"/>
            <w:vAlign w:val="center"/>
          </w:tcPr>
          <w:p w14:paraId="3AD9B8E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GT06-3283×LT07-95</w:t>
            </w:r>
          </w:p>
        </w:tc>
        <w:tc>
          <w:tcPr>
            <w:tcW w:w="750" w:type="pct"/>
            <w:vAlign w:val="center"/>
          </w:tcPr>
          <w:p w14:paraId="4D97864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981</w:t>
            </w:r>
          </w:p>
        </w:tc>
        <w:tc>
          <w:tcPr>
            <w:tcW w:w="1760" w:type="pct"/>
            <w:vAlign w:val="center"/>
          </w:tcPr>
          <w:p w14:paraId="4908447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SWS09-001×CP92-1641</w:t>
            </w:r>
          </w:p>
        </w:tc>
      </w:tr>
      <w:tr w14:paraId="5FF12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vAlign w:val="center"/>
          </w:tcPr>
          <w:p w14:paraId="2E70B74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289</w:t>
            </w:r>
          </w:p>
        </w:tc>
        <w:tc>
          <w:tcPr>
            <w:tcW w:w="1758" w:type="pct"/>
            <w:vAlign w:val="center"/>
          </w:tcPr>
          <w:p w14:paraId="3533DDB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NongL8×GT09-1009</w:t>
            </w:r>
          </w:p>
        </w:tc>
        <w:tc>
          <w:tcPr>
            <w:tcW w:w="750" w:type="pct"/>
            <w:vAlign w:val="center"/>
          </w:tcPr>
          <w:p w14:paraId="21CE3EF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989</w:t>
            </w:r>
          </w:p>
        </w:tc>
        <w:tc>
          <w:tcPr>
            <w:tcW w:w="1760" w:type="pct"/>
            <w:vAlign w:val="center"/>
          </w:tcPr>
          <w:p w14:paraId="0051DF5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C1-2003×YZ95-128</w:t>
            </w:r>
          </w:p>
        </w:tc>
      </w:tr>
      <w:tr w14:paraId="1ACA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pct"/>
            <w:tcBorders>
              <w:bottom w:val="single" w:color="auto" w:sz="4" w:space="0"/>
            </w:tcBorders>
            <w:vAlign w:val="center"/>
          </w:tcPr>
          <w:p w14:paraId="427D737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327</w:t>
            </w:r>
          </w:p>
        </w:tc>
        <w:tc>
          <w:tcPr>
            <w:tcW w:w="1758" w:type="pct"/>
            <w:tcBorders>
              <w:bottom w:val="single" w:color="auto" w:sz="4" w:space="0"/>
            </w:tcBorders>
            <w:vAlign w:val="center"/>
          </w:tcPr>
          <w:p w14:paraId="61C455F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GT04-1023×FN39</w:t>
            </w:r>
          </w:p>
        </w:tc>
        <w:tc>
          <w:tcPr>
            <w:tcW w:w="750" w:type="pct"/>
            <w:tcBorders>
              <w:bottom w:val="single" w:color="auto" w:sz="4" w:space="0"/>
            </w:tcBorders>
            <w:vAlign w:val="center"/>
          </w:tcPr>
          <w:p w14:paraId="44225F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1124</w:t>
            </w:r>
          </w:p>
        </w:tc>
        <w:tc>
          <w:tcPr>
            <w:tcW w:w="1760" w:type="pct"/>
            <w:tcBorders>
              <w:bottom w:val="single" w:color="auto" w:sz="4" w:space="0"/>
            </w:tcBorders>
            <w:vAlign w:val="center"/>
          </w:tcPr>
          <w:p w14:paraId="75C17C4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GT02-761×YF90-95</w:t>
            </w:r>
          </w:p>
        </w:tc>
      </w:tr>
      <w:tr w14:paraId="48B035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6DFAB3F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370</w:t>
            </w:r>
          </w:p>
        </w:tc>
        <w:tc>
          <w:tcPr>
            <w:tcW w:w="1758" w:type="pct"/>
            <w:tcBorders>
              <w:top w:val="single" w:color="auto" w:sz="4" w:space="0"/>
              <w:left w:val="single" w:color="auto" w:sz="4" w:space="0"/>
              <w:bottom w:val="single" w:color="auto" w:sz="4" w:space="0"/>
              <w:right w:val="single" w:color="auto" w:sz="4" w:space="0"/>
            </w:tcBorders>
            <w:vAlign w:val="center"/>
          </w:tcPr>
          <w:p w14:paraId="45D6681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CP07-1618×FN39</w:t>
            </w:r>
          </w:p>
        </w:tc>
        <w:tc>
          <w:tcPr>
            <w:tcW w:w="750" w:type="pct"/>
            <w:tcBorders>
              <w:top w:val="single" w:color="auto" w:sz="4" w:space="0"/>
              <w:left w:val="single" w:color="auto" w:sz="4" w:space="0"/>
              <w:bottom w:val="single" w:color="auto" w:sz="4" w:space="0"/>
              <w:right w:val="single" w:color="auto" w:sz="4" w:space="0"/>
            </w:tcBorders>
            <w:vAlign w:val="center"/>
          </w:tcPr>
          <w:p w14:paraId="4D64FDA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1245</w:t>
            </w:r>
          </w:p>
        </w:tc>
        <w:tc>
          <w:tcPr>
            <w:tcW w:w="1760" w:type="pct"/>
            <w:tcBorders>
              <w:top w:val="single" w:color="auto" w:sz="4" w:space="0"/>
              <w:left w:val="single" w:color="auto" w:sz="4" w:space="0"/>
              <w:bottom w:val="single" w:color="auto" w:sz="4" w:space="0"/>
              <w:right w:val="single" w:color="auto" w:sz="4" w:space="0"/>
            </w:tcBorders>
            <w:vAlign w:val="center"/>
          </w:tcPr>
          <w:p w14:paraId="366480D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GT01-25×CP09-4707</w:t>
            </w:r>
          </w:p>
        </w:tc>
      </w:tr>
      <w:tr w14:paraId="532E0F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2AFEE86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371</w:t>
            </w:r>
          </w:p>
        </w:tc>
        <w:tc>
          <w:tcPr>
            <w:tcW w:w="1758" w:type="pct"/>
            <w:tcBorders>
              <w:top w:val="single" w:color="auto" w:sz="4" w:space="0"/>
              <w:left w:val="single" w:color="auto" w:sz="4" w:space="0"/>
              <w:bottom w:val="single" w:color="auto" w:sz="4" w:space="0"/>
              <w:right w:val="single" w:color="auto" w:sz="4" w:space="0"/>
            </w:tcBorders>
            <w:vAlign w:val="center"/>
          </w:tcPr>
          <w:p w14:paraId="10265B5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CP07-1618×LC03-1137</w:t>
            </w:r>
          </w:p>
        </w:tc>
        <w:tc>
          <w:tcPr>
            <w:tcW w:w="750" w:type="pct"/>
            <w:tcBorders>
              <w:top w:val="single" w:color="auto" w:sz="4" w:space="0"/>
              <w:left w:val="single" w:color="auto" w:sz="4" w:space="0"/>
              <w:bottom w:val="single" w:color="auto" w:sz="4" w:space="0"/>
              <w:right w:val="single" w:color="auto" w:sz="4" w:space="0"/>
            </w:tcBorders>
            <w:vAlign w:val="center"/>
          </w:tcPr>
          <w:p w14:paraId="2A89BFC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1252</w:t>
            </w:r>
          </w:p>
        </w:tc>
        <w:tc>
          <w:tcPr>
            <w:tcW w:w="1760" w:type="pct"/>
            <w:tcBorders>
              <w:top w:val="single" w:color="auto" w:sz="4" w:space="0"/>
              <w:left w:val="single" w:color="auto" w:sz="4" w:space="0"/>
              <w:bottom w:val="single" w:color="auto" w:sz="4" w:space="0"/>
              <w:right w:val="single" w:color="auto" w:sz="4" w:space="0"/>
            </w:tcBorders>
            <w:vAlign w:val="center"/>
          </w:tcPr>
          <w:p w14:paraId="018E826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GT05-3661×CP09-4256</w:t>
            </w:r>
          </w:p>
        </w:tc>
      </w:tr>
      <w:tr w14:paraId="12237B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2924B9E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381</w:t>
            </w:r>
          </w:p>
        </w:tc>
        <w:tc>
          <w:tcPr>
            <w:tcW w:w="1758" w:type="pct"/>
            <w:tcBorders>
              <w:top w:val="single" w:color="auto" w:sz="4" w:space="0"/>
              <w:left w:val="single" w:color="auto" w:sz="4" w:space="0"/>
              <w:bottom w:val="single" w:color="auto" w:sz="4" w:space="0"/>
              <w:right w:val="single" w:color="auto" w:sz="4" w:space="0"/>
            </w:tcBorders>
            <w:vAlign w:val="center"/>
          </w:tcPr>
          <w:p w14:paraId="00FCC5F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GT05-wm48×GT07-229</w:t>
            </w:r>
          </w:p>
        </w:tc>
        <w:tc>
          <w:tcPr>
            <w:tcW w:w="750" w:type="pct"/>
            <w:tcBorders>
              <w:top w:val="single" w:color="auto" w:sz="4" w:space="0"/>
              <w:left w:val="single" w:color="auto" w:sz="4" w:space="0"/>
              <w:bottom w:val="single" w:color="auto" w:sz="4" w:space="0"/>
              <w:right w:val="single" w:color="auto" w:sz="4" w:space="0"/>
            </w:tcBorders>
            <w:vAlign w:val="center"/>
          </w:tcPr>
          <w:p w14:paraId="7C4234B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Y12</w:t>
            </w:r>
          </w:p>
        </w:tc>
        <w:tc>
          <w:tcPr>
            <w:tcW w:w="1760" w:type="pct"/>
            <w:tcBorders>
              <w:top w:val="single" w:color="auto" w:sz="4" w:space="0"/>
              <w:left w:val="single" w:color="auto" w:sz="4" w:space="0"/>
              <w:bottom w:val="single" w:color="auto" w:sz="4" w:space="0"/>
              <w:right w:val="single" w:color="auto" w:sz="4" w:space="0"/>
            </w:tcBorders>
            <w:vAlign w:val="center"/>
          </w:tcPr>
          <w:p w14:paraId="12EC667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ROC28×YT00-236</w:t>
            </w:r>
          </w:p>
        </w:tc>
      </w:tr>
      <w:tr w14:paraId="0A47A2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76379F0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399</w:t>
            </w:r>
          </w:p>
        </w:tc>
        <w:tc>
          <w:tcPr>
            <w:tcW w:w="1758" w:type="pct"/>
            <w:tcBorders>
              <w:top w:val="single" w:color="auto" w:sz="4" w:space="0"/>
              <w:left w:val="single" w:color="auto" w:sz="4" w:space="0"/>
              <w:bottom w:val="single" w:color="auto" w:sz="4" w:space="0"/>
              <w:right w:val="single" w:color="auto" w:sz="4" w:space="0"/>
            </w:tcBorders>
            <w:vAlign w:val="center"/>
          </w:tcPr>
          <w:p w14:paraId="4EDC4A3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Co1001×GT10-2018</w:t>
            </w:r>
          </w:p>
        </w:tc>
        <w:tc>
          <w:tcPr>
            <w:tcW w:w="750" w:type="pct"/>
            <w:tcBorders>
              <w:top w:val="single" w:color="auto" w:sz="4" w:space="0"/>
              <w:left w:val="single" w:color="auto" w:sz="4" w:space="0"/>
              <w:bottom w:val="single" w:color="auto" w:sz="4" w:space="0"/>
              <w:right w:val="single" w:color="auto" w:sz="4" w:space="0"/>
            </w:tcBorders>
            <w:vAlign w:val="center"/>
          </w:tcPr>
          <w:p w14:paraId="74184A9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Y44</w:t>
            </w:r>
          </w:p>
        </w:tc>
        <w:tc>
          <w:tcPr>
            <w:tcW w:w="1760" w:type="pct"/>
            <w:tcBorders>
              <w:top w:val="single" w:color="auto" w:sz="4" w:space="0"/>
              <w:left w:val="single" w:color="auto" w:sz="4" w:space="0"/>
              <w:bottom w:val="single" w:color="auto" w:sz="4" w:space="0"/>
              <w:right w:val="single" w:color="auto" w:sz="4" w:space="0"/>
            </w:tcBorders>
            <w:vAlign w:val="center"/>
          </w:tcPr>
          <w:p w14:paraId="62F273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YT00-318×YT93-159</w:t>
            </w:r>
          </w:p>
        </w:tc>
      </w:tr>
      <w:tr w14:paraId="53480E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7940E74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430</w:t>
            </w:r>
          </w:p>
        </w:tc>
        <w:tc>
          <w:tcPr>
            <w:tcW w:w="1758" w:type="pct"/>
            <w:tcBorders>
              <w:top w:val="single" w:color="auto" w:sz="4" w:space="0"/>
              <w:left w:val="single" w:color="auto" w:sz="4" w:space="0"/>
              <w:bottom w:val="single" w:color="auto" w:sz="4" w:space="0"/>
              <w:right w:val="single" w:color="auto" w:sz="4" w:space="0"/>
            </w:tcBorders>
            <w:vAlign w:val="center"/>
          </w:tcPr>
          <w:p w14:paraId="49F5A8E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YZ99-596×GT10-2018</w:t>
            </w:r>
          </w:p>
        </w:tc>
        <w:tc>
          <w:tcPr>
            <w:tcW w:w="750" w:type="pct"/>
            <w:tcBorders>
              <w:top w:val="single" w:color="auto" w:sz="4" w:space="0"/>
              <w:left w:val="single" w:color="auto" w:sz="4" w:space="0"/>
              <w:bottom w:val="single" w:color="auto" w:sz="4" w:space="0"/>
              <w:right w:val="single" w:color="auto" w:sz="4" w:space="0"/>
            </w:tcBorders>
            <w:vAlign w:val="center"/>
          </w:tcPr>
          <w:p w14:paraId="705E31A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Y50</w:t>
            </w:r>
          </w:p>
        </w:tc>
        <w:tc>
          <w:tcPr>
            <w:tcW w:w="1760" w:type="pct"/>
            <w:tcBorders>
              <w:top w:val="single" w:color="auto" w:sz="4" w:space="0"/>
              <w:left w:val="single" w:color="auto" w:sz="4" w:space="0"/>
              <w:bottom w:val="single" w:color="auto" w:sz="4" w:space="0"/>
              <w:right w:val="single" w:color="auto" w:sz="4" w:space="0"/>
            </w:tcBorders>
            <w:vAlign w:val="center"/>
          </w:tcPr>
          <w:p w14:paraId="68A3142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YT01-71×DZ93-88</w:t>
            </w:r>
          </w:p>
        </w:tc>
      </w:tr>
      <w:tr w14:paraId="72661D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0E660BC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506</w:t>
            </w:r>
          </w:p>
        </w:tc>
        <w:tc>
          <w:tcPr>
            <w:tcW w:w="1758" w:type="pct"/>
            <w:tcBorders>
              <w:top w:val="single" w:color="auto" w:sz="4" w:space="0"/>
              <w:left w:val="single" w:color="auto" w:sz="4" w:space="0"/>
              <w:bottom w:val="single" w:color="auto" w:sz="4" w:space="0"/>
              <w:right w:val="single" w:color="auto" w:sz="4" w:space="0"/>
            </w:tcBorders>
            <w:vAlign w:val="center"/>
          </w:tcPr>
          <w:p w14:paraId="7BDDE01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GT06-1264×YT96-833</w:t>
            </w:r>
          </w:p>
        </w:tc>
        <w:tc>
          <w:tcPr>
            <w:tcW w:w="750" w:type="pct"/>
            <w:tcBorders>
              <w:top w:val="single" w:color="auto" w:sz="4" w:space="0"/>
              <w:left w:val="single" w:color="auto" w:sz="4" w:space="0"/>
              <w:bottom w:val="single" w:color="auto" w:sz="4" w:space="0"/>
              <w:right w:val="single" w:color="auto" w:sz="4" w:space="0"/>
            </w:tcBorders>
            <w:vAlign w:val="center"/>
          </w:tcPr>
          <w:p w14:paraId="09EA278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Y57</w:t>
            </w:r>
          </w:p>
        </w:tc>
        <w:tc>
          <w:tcPr>
            <w:tcW w:w="1760" w:type="pct"/>
            <w:tcBorders>
              <w:top w:val="single" w:color="auto" w:sz="4" w:space="0"/>
              <w:left w:val="single" w:color="auto" w:sz="4" w:space="0"/>
              <w:bottom w:val="single" w:color="auto" w:sz="4" w:space="0"/>
              <w:right w:val="single" w:color="auto" w:sz="4" w:space="0"/>
            </w:tcBorders>
            <w:vAlign w:val="center"/>
          </w:tcPr>
          <w:p w14:paraId="76FA10D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YT91-976×ROC23</w:t>
            </w:r>
          </w:p>
        </w:tc>
      </w:tr>
      <w:tr w14:paraId="7B7073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5290D1A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564</w:t>
            </w:r>
          </w:p>
        </w:tc>
        <w:tc>
          <w:tcPr>
            <w:tcW w:w="1758" w:type="pct"/>
            <w:tcBorders>
              <w:top w:val="single" w:color="auto" w:sz="4" w:space="0"/>
              <w:left w:val="single" w:color="auto" w:sz="4" w:space="0"/>
              <w:bottom w:val="single" w:color="auto" w:sz="4" w:space="0"/>
              <w:right w:val="single" w:color="auto" w:sz="4" w:space="0"/>
            </w:tcBorders>
            <w:vAlign w:val="center"/>
          </w:tcPr>
          <w:p w14:paraId="18C6D6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GT02-761×YC07-71</w:t>
            </w:r>
          </w:p>
        </w:tc>
        <w:tc>
          <w:tcPr>
            <w:tcW w:w="750" w:type="pct"/>
            <w:tcBorders>
              <w:top w:val="single" w:color="auto" w:sz="4" w:space="0"/>
              <w:left w:val="single" w:color="auto" w:sz="4" w:space="0"/>
              <w:bottom w:val="single" w:color="auto" w:sz="4" w:space="0"/>
              <w:right w:val="single" w:color="auto" w:sz="4" w:space="0"/>
            </w:tcBorders>
            <w:vAlign w:val="center"/>
          </w:tcPr>
          <w:p w14:paraId="1F2CEFA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Y65</w:t>
            </w:r>
          </w:p>
        </w:tc>
        <w:tc>
          <w:tcPr>
            <w:tcW w:w="1760" w:type="pct"/>
            <w:tcBorders>
              <w:top w:val="single" w:color="auto" w:sz="4" w:space="0"/>
              <w:left w:val="single" w:color="auto" w:sz="4" w:space="0"/>
              <w:bottom w:val="single" w:color="auto" w:sz="4" w:space="0"/>
              <w:right w:val="single" w:color="auto" w:sz="4" w:space="0"/>
            </w:tcBorders>
            <w:vAlign w:val="center"/>
          </w:tcPr>
          <w:p w14:paraId="19F231E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YT93-159×YC07-71</w:t>
            </w:r>
          </w:p>
        </w:tc>
      </w:tr>
      <w:tr w14:paraId="01FBF4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2410E11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593</w:t>
            </w:r>
          </w:p>
        </w:tc>
        <w:tc>
          <w:tcPr>
            <w:tcW w:w="1758" w:type="pct"/>
            <w:tcBorders>
              <w:top w:val="single" w:color="auto" w:sz="4" w:space="0"/>
              <w:left w:val="single" w:color="auto" w:sz="4" w:space="0"/>
              <w:bottom w:val="single" w:color="auto" w:sz="4" w:space="0"/>
              <w:right w:val="single" w:color="auto" w:sz="4" w:space="0"/>
            </w:tcBorders>
            <w:vAlign w:val="center"/>
          </w:tcPr>
          <w:p w14:paraId="36984E6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GT06-3283×YZ06-80</w:t>
            </w:r>
          </w:p>
        </w:tc>
        <w:tc>
          <w:tcPr>
            <w:tcW w:w="750" w:type="pct"/>
            <w:tcBorders>
              <w:top w:val="single" w:color="auto" w:sz="4" w:space="0"/>
              <w:left w:val="single" w:color="auto" w:sz="4" w:space="0"/>
              <w:bottom w:val="single" w:color="auto" w:sz="4" w:space="0"/>
              <w:right w:val="single" w:color="auto" w:sz="4" w:space="0"/>
            </w:tcBorders>
            <w:vAlign w:val="center"/>
          </w:tcPr>
          <w:p w14:paraId="0C059D5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Y70</w:t>
            </w:r>
          </w:p>
        </w:tc>
        <w:tc>
          <w:tcPr>
            <w:tcW w:w="1760" w:type="pct"/>
            <w:tcBorders>
              <w:top w:val="single" w:color="auto" w:sz="4" w:space="0"/>
              <w:left w:val="single" w:color="auto" w:sz="4" w:space="0"/>
              <w:bottom w:val="single" w:color="auto" w:sz="4" w:space="0"/>
              <w:right w:val="single" w:color="auto" w:sz="4" w:space="0"/>
            </w:tcBorders>
            <w:vAlign w:val="center"/>
          </w:tcPr>
          <w:p w14:paraId="4E71E21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YT94-128×ROC22</w:t>
            </w:r>
          </w:p>
        </w:tc>
      </w:tr>
      <w:tr w14:paraId="798B26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39F0477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643</w:t>
            </w:r>
          </w:p>
        </w:tc>
        <w:tc>
          <w:tcPr>
            <w:tcW w:w="1758" w:type="pct"/>
            <w:tcBorders>
              <w:top w:val="single" w:color="auto" w:sz="4" w:space="0"/>
              <w:left w:val="single" w:color="auto" w:sz="4" w:space="0"/>
              <w:bottom w:val="single" w:color="auto" w:sz="4" w:space="0"/>
              <w:right w:val="single" w:color="auto" w:sz="4" w:space="0"/>
            </w:tcBorders>
            <w:vAlign w:val="center"/>
          </w:tcPr>
          <w:p w14:paraId="51F2AD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GT02-901×GT06-178</w:t>
            </w:r>
          </w:p>
        </w:tc>
        <w:tc>
          <w:tcPr>
            <w:tcW w:w="750" w:type="pct"/>
            <w:tcBorders>
              <w:top w:val="single" w:color="auto" w:sz="4" w:space="0"/>
              <w:left w:val="single" w:color="auto" w:sz="4" w:space="0"/>
              <w:bottom w:val="single" w:color="auto" w:sz="4" w:space="0"/>
              <w:right w:val="single" w:color="auto" w:sz="4" w:space="0"/>
            </w:tcBorders>
            <w:vAlign w:val="center"/>
          </w:tcPr>
          <w:p w14:paraId="660433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Y86</w:t>
            </w:r>
          </w:p>
        </w:tc>
        <w:tc>
          <w:tcPr>
            <w:tcW w:w="1760" w:type="pct"/>
            <w:tcBorders>
              <w:top w:val="single" w:color="auto" w:sz="4" w:space="0"/>
              <w:left w:val="single" w:color="auto" w:sz="4" w:space="0"/>
              <w:bottom w:val="single" w:color="auto" w:sz="4" w:space="0"/>
              <w:right w:val="single" w:color="auto" w:sz="4" w:space="0"/>
            </w:tcBorders>
            <w:vAlign w:val="center"/>
          </w:tcPr>
          <w:p w14:paraId="4A45F9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ZZ33×GT92-66</w:t>
            </w:r>
          </w:p>
        </w:tc>
      </w:tr>
      <w:tr w14:paraId="76A3AF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6A50B79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670</w:t>
            </w:r>
          </w:p>
        </w:tc>
        <w:tc>
          <w:tcPr>
            <w:tcW w:w="1758" w:type="pct"/>
            <w:tcBorders>
              <w:top w:val="single" w:color="auto" w:sz="4" w:space="0"/>
              <w:left w:val="single" w:color="auto" w:sz="4" w:space="0"/>
              <w:bottom w:val="single" w:color="auto" w:sz="4" w:space="0"/>
              <w:right w:val="single" w:color="auto" w:sz="4" w:space="0"/>
            </w:tcBorders>
            <w:vAlign w:val="center"/>
          </w:tcPr>
          <w:p w14:paraId="35A10E6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CP00-1630×GT06-1184</w:t>
            </w:r>
          </w:p>
        </w:tc>
        <w:tc>
          <w:tcPr>
            <w:tcW w:w="750" w:type="pct"/>
            <w:tcBorders>
              <w:top w:val="single" w:color="auto" w:sz="4" w:space="0"/>
              <w:left w:val="single" w:color="auto" w:sz="4" w:space="0"/>
              <w:bottom w:val="single" w:color="auto" w:sz="4" w:space="0"/>
              <w:right w:val="single" w:color="auto" w:sz="4" w:space="0"/>
            </w:tcBorders>
            <w:vAlign w:val="center"/>
          </w:tcPr>
          <w:p w14:paraId="7EB15AE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ROC22</w:t>
            </w:r>
          </w:p>
        </w:tc>
        <w:tc>
          <w:tcPr>
            <w:tcW w:w="1760" w:type="pct"/>
            <w:tcBorders>
              <w:top w:val="single" w:color="auto" w:sz="4" w:space="0"/>
              <w:left w:val="single" w:color="auto" w:sz="4" w:space="0"/>
              <w:bottom w:val="single" w:color="auto" w:sz="4" w:space="0"/>
              <w:right w:val="single" w:color="auto" w:sz="4" w:space="0"/>
            </w:tcBorders>
            <w:vAlign w:val="center"/>
          </w:tcPr>
          <w:p w14:paraId="74F85A0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ROC5×69-463</w:t>
            </w:r>
          </w:p>
        </w:tc>
      </w:tr>
      <w:tr w14:paraId="6B3B9F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29" w:type="pct"/>
            <w:tcBorders>
              <w:top w:val="single" w:color="auto" w:sz="4" w:space="0"/>
              <w:left w:val="single" w:color="auto" w:sz="4" w:space="0"/>
              <w:bottom w:val="single" w:color="auto" w:sz="4" w:space="0"/>
              <w:right w:val="single" w:color="auto" w:sz="4" w:space="0"/>
            </w:tcBorders>
            <w:vAlign w:val="center"/>
          </w:tcPr>
          <w:p w14:paraId="0098D73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875</w:t>
            </w:r>
          </w:p>
        </w:tc>
        <w:tc>
          <w:tcPr>
            <w:tcW w:w="1758" w:type="pct"/>
            <w:tcBorders>
              <w:top w:val="single" w:color="auto" w:sz="4" w:space="0"/>
              <w:left w:val="single" w:color="auto" w:sz="4" w:space="0"/>
              <w:bottom w:val="single" w:color="auto" w:sz="4" w:space="0"/>
              <w:right w:val="single" w:color="auto" w:sz="4" w:space="0"/>
            </w:tcBorders>
            <w:vAlign w:val="center"/>
          </w:tcPr>
          <w:p w14:paraId="0285742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FR93-865×PR83-1248</w:t>
            </w:r>
          </w:p>
        </w:tc>
        <w:tc>
          <w:tcPr>
            <w:tcW w:w="750" w:type="pct"/>
            <w:tcBorders>
              <w:top w:val="single" w:color="auto" w:sz="4" w:space="0"/>
              <w:left w:val="single" w:color="auto" w:sz="4" w:space="0"/>
              <w:bottom w:val="single" w:color="auto" w:sz="4" w:space="0"/>
              <w:right w:val="single" w:color="auto" w:sz="4" w:space="0"/>
            </w:tcBorders>
            <w:vAlign w:val="center"/>
          </w:tcPr>
          <w:p w14:paraId="54C6033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p>
        </w:tc>
        <w:tc>
          <w:tcPr>
            <w:tcW w:w="1760" w:type="pct"/>
            <w:tcBorders>
              <w:top w:val="single" w:color="auto" w:sz="4" w:space="0"/>
              <w:left w:val="single" w:color="auto" w:sz="4" w:space="0"/>
              <w:bottom w:val="single" w:color="auto" w:sz="4" w:space="0"/>
              <w:right w:val="single" w:color="auto" w:sz="4" w:space="0"/>
            </w:tcBorders>
            <w:vAlign w:val="center"/>
          </w:tcPr>
          <w:p w14:paraId="4B7539E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p>
        </w:tc>
      </w:tr>
    </w:tbl>
    <w:p w14:paraId="049CAF48">
      <w:pPr>
        <w:keepNext w:val="0"/>
        <w:keepLines w:val="0"/>
        <w:pageBreakBefore w:val="0"/>
        <w:kinsoku/>
        <w:overflowPunct/>
        <w:topLinePunct w:val="0"/>
        <w:bidi w:val="0"/>
        <w:snapToGrid/>
        <w:ind w:left="0" w:firstLine="643"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试验设计：</w:t>
      </w:r>
      <w:r>
        <w:rPr>
          <w:rFonts w:hint="eastAsia" w:ascii="仿宋_GB2312" w:hAnsi="仿宋_GB2312" w:cs="仿宋_GB2312"/>
          <w:color w:val="auto"/>
          <w:sz w:val="32"/>
          <w:szCs w:val="32"/>
          <w:highlight w:val="none"/>
          <w:lang w:val="en-US" w:eastAsia="zh-CN"/>
        </w:rPr>
        <w:t>试验在南宁市隆安县丁当镇的广西农业科学院甘蔗研究所科研基地进行。隆安县位于广西西南部、右江下游两岸，地处东经107°21′～108°6′，北纬22°51′～23°21′，属南亚热带季风气候，平均温度21.7℃，年均无霜期361d，年均降雨量1227～1691mm，雨量多集中在6～8月，土壤类型以沙页岩赤红壤为主。试验材料在2017年3月初开始播种，待4月中旬有2～4片真叶时进行假植，6月15日定植大田。每个组合随机选69株，共2070个单株，按照随机区组3次重复种植，每小区设置1行，行长为7米，行距1.2米，每小区种植23株。</w:t>
      </w:r>
    </w:p>
    <w:p w14:paraId="3C626E75">
      <w:pPr>
        <w:pStyle w:val="29"/>
        <w:keepNext w:val="0"/>
        <w:keepLines w:val="0"/>
        <w:pageBreakBefore w:val="0"/>
        <w:numPr>
          <w:ilvl w:val="0"/>
          <w:numId w:val="0"/>
        </w:numPr>
        <w:kinsoku/>
        <w:overflowPunct/>
        <w:topLinePunct w:val="0"/>
        <w:autoSpaceDE/>
        <w:autoSpaceDN/>
        <w:bidi w:val="0"/>
        <w:adjustRightInd w:val="0"/>
        <w:snapToGrid/>
        <w:spacing w:line="560" w:lineRule="exact"/>
        <w:ind w:left="0" w:firstLine="643" w:firstLineChars="200"/>
        <w:jc w:val="left"/>
        <w:textAlignment w:val="auto"/>
        <w:rPr>
          <w:rFonts w:hint="default" w:ascii="仿宋_GB2312" w:hAnsi="仿宋_GB2312" w:eastAsia="仿宋_GB2312" w:cs="仿宋_GB2312"/>
          <w:b/>
          <w:color w:val="auto"/>
          <w:sz w:val="32"/>
          <w:szCs w:val="32"/>
          <w:highlight w:val="none"/>
          <w:lang w:val="en-US" w:eastAsia="zh-CN"/>
        </w:rPr>
      </w:pPr>
      <w:r>
        <w:rPr>
          <w:rFonts w:hint="default" w:ascii="仿宋_GB2312" w:hAnsi="仿宋_GB2312" w:eastAsia="仿宋_GB2312" w:cs="仿宋_GB2312"/>
          <w:b/>
          <w:color w:val="auto"/>
          <w:kern w:val="2"/>
          <w:sz w:val="32"/>
          <w:szCs w:val="32"/>
          <w:highlight w:val="none"/>
          <w:lang w:val="zh-CN" w:eastAsia="zh-CN" w:bidi="ar-SA"/>
        </w:rPr>
        <w:t>（</w:t>
      </w:r>
      <w:r>
        <w:rPr>
          <w:rFonts w:hint="eastAsia" w:ascii="仿宋_GB2312" w:hAnsi="仿宋_GB2312" w:cs="仿宋_GB2312"/>
          <w:b/>
          <w:color w:val="auto"/>
          <w:kern w:val="2"/>
          <w:sz w:val="32"/>
          <w:szCs w:val="32"/>
          <w:highlight w:val="none"/>
          <w:lang w:val="en-US" w:eastAsia="zh-CN" w:bidi="ar-SA"/>
        </w:rPr>
        <w:t>三</w:t>
      </w:r>
      <w:r>
        <w:rPr>
          <w:rFonts w:hint="default" w:ascii="仿宋_GB2312" w:hAnsi="仿宋_GB2312" w:eastAsia="仿宋_GB2312" w:cs="仿宋_GB2312"/>
          <w:b/>
          <w:color w:val="auto"/>
          <w:kern w:val="2"/>
          <w:sz w:val="32"/>
          <w:szCs w:val="32"/>
          <w:highlight w:val="none"/>
          <w:lang w:val="zh-CN" w:eastAsia="zh-CN" w:bidi="ar-SA"/>
        </w:rPr>
        <w:t>）</w:t>
      </w:r>
      <w:r>
        <w:rPr>
          <w:rFonts w:hint="eastAsia" w:ascii="仿宋_GB2312" w:hAnsi="仿宋_GB2312" w:cs="仿宋_GB2312"/>
          <w:b/>
          <w:color w:val="auto"/>
          <w:sz w:val="32"/>
          <w:szCs w:val="32"/>
          <w:highlight w:val="none"/>
          <w:lang w:val="en-US" w:eastAsia="zh-CN"/>
        </w:rPr>
        <w:t>调查指标</w:t>
      </w:r>
    </w:p>
    <w:p w14:paraId="689799AB">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b w:val="0"/>
          <w:bCs w:val="0"/>
          <w:color w:val="auto"/>
          <w:sz w:val="32"/>
          <w:szCs w:val="32"/>
          <w:highlight w:val="none"/>
          <w:lang w:val="en-US" w:eastAsia="zh-CN"/>
        </w:rPr>
        <w:t>根据上述试验设计，甘蔗品种</w:t>
      </w:r>
      <w:r>
        <w:rPr>
          <w:rFonts w:hint="eastAsia" w:ascii="仿宋_GB2312" w:hAnsi="仿宋_GB2312" w:cs="仿宋_GB2312"/>
          <w:color w:val="auto"/>
          <w:sz w:val="32"/>
          <w:szCs w:val="32"/>
          <w:highlight w:val="none"/>
          <w:lang w:val="en-US" w:eastAsia="zh-CN"/>
        </w:rPr>
        <w:t>分别于2017年1月和2018年1月对新植蔗和宿根蔗的倒伏角、茎径等进行调查，小区所有植株均需调查。2018年2月对30个组合甘蔗实生苗的倒伏角、基部茎径、中部茎径和锤度进行调查，每小区调查21丛实生苗（每小区的第一丛和最后一丛不做调查）。</w:t>
      </w:r>
    </w:p>
    <w:p w14:paraId="6A960D9F">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倒伏角：使用自主发明的甘蔗倒伏角度测量装置（实用新型专利，已授权，专利号：201820386605.2）进行测量。</w:t>
      </w:r>
    </w:p>
    <w:p w14:paraId="1F693594">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茎径：于成熟期从甘蔗基部和中部使用游标卡尺在蔗茎节间中部量取。</w:t>
      </w:r>
    </w:p>
    <w:p w14:paraId="4101BC30">
      <w:pPr>
        <w:pStyle w:val="29"/>
        <w:keepNext w:val="0"/>
        <w:keepLines w:val="0"/>
        <w:pageBreakBefore w:val="0"/>
        <w:numPr>
          <w:ilvl w:val="0"/>
          <w:numId w:val="0"/>
        </w:numPr>
        <w:kinsoku/>
        <w:overflowPunct/>
        <w:topLinePunct w:val="0"/>
        <w:autoSpaceDE/>
        <w:autoSpaceDN/>
        <w:bidi w:val="0"/>
        <w:adjustRightInd w:val="0"/>
        <w:snapToGrid/>
        <w:spacing w:line="560" w:lineRule="exact"/>
        <w:ind w:left="0" w:firstLine="643" w:firstLineChars="200"/>
        <w:jc w:val="left"/>
        <w:textAlignment w:val="auto"/>
        <w:rPr>
          <w:rFonts w:hint="default" w:ascii="仿宋_GB2312" w:hAnsi="仿宋_GB2312" w:eastAsia="仿宋_GB2312" w:cs="仿宋_GB2312"/>
          <w:b/>
          <w:color w:val="auto"/>
          <w:sz w:val="32"/>
          <w:szCs w:val="32"/>
          <w:highlight w:val="none"/>
          <w:lang w:val="en-US" w:eastAsia="zh-CN"/>
        </w:rPr>
      </w:pPr>
      <w:r>
        <w:rPr>
          <w:rFonts w:hint="default" w:ascii="仿宋_GB2312" w:hAnsi="仿宋_GB2312" w:eastAsia="仿宋_GB2312" w:cs="仿宋_GB2312"/>
          <w:b/>
          <w:color w:val="auto"/>
          <w:kern w:val="2"/>
          <w:sz w:val="32"/>
          <w:szCs w:val="32"/>
          <w:highlight w:val="none"/>
          <w:lang w:val="zh-CN" w:eastAsia="zh-CN" w:bidi="ar-SA"/>
        </w:rPr>
        <w:t>（</w:t>
      </w:r>
      <w:r>
        <w:rPr>
          <w:rFonts w:hint="eastAsia" w:ascii="仿宋_GB2312" w:hAnsi="仿宋_GB2312" w:cs="仿宋_GB2312"/>
          <w:b/>
          <w:color w:val="auto"/>
          <w:kern w:val="2"/>
          <w:sz w:val="32"/>
          <w:szCs w:val="32"/>
          <w:highlight w:val="none"/>
          <w:lang w:val="en-US" w:eastAsia="zh-CN" w:bidi="ar-SA"/>
        </w:rPr>
        <w:t>四</w:t>
      </w:r>
      <w:r>
        <w:rPr>
          <w:rFonts w:hint="default" w:ascii="仿宋_GB2312" w:hAnsi="仿宋_GB2312" w:eastAsia="仿宋_GB2312" w:cs="仿宋_GB2312"/>
          <w:b/>
          <w:color w:val="auto"/>
          <w:kern w:val="2"/>
          <w:sz w:val="32"/>
          <w:szCs w:val="32"/>
          <w:highlight w:val="none"/>
          <w:lang w:val="zh-CN" w:eastAsia="zh-CN" w:bidi="ar-SA"/>
        </w:rPr>
        <w:t>）</w:t>
      </w:r>
      <w:r>
        <w:rPr>
          <w:rFonts w:hint="eastAsia" w:ascii="仿宋_GB2312" w:hAnsi="仿宋_GB2312" w:cs="仿宋_GB2312"/>
          <w:b/>
          <w:color w:val="auto"/>
          <w:kern w:val="2"/>
          <w:sz w:val="32"/>
          <w:szCs w:val="32"/>
          <w:highlight w:val="none"/>
          <w:lang w:val="en-US" w:eastAsia="zh-CN" w:bidi="ar-SA"/>
        </w:rPr>
        <w:t>甘蔗品种</w:t>
      </w:r>
      <w:r>
        <w:rPr>
          <w:rFonts w:hint="eastAsia" w:ascii="仿宋_GB2312" w:hAnsi="仿宋_GB2312" w:cs="仿宋_GB2312"/>
          <w:b/>
          <w:color w:val="auto"/>
          <w:sz w:val="32"/>
          <w:szCs w:val="32"/>
          <w:highlight w:val="none"/>
          <w:lang w:val="en-US" w:eastAsia="zh-CN"/>
        </w:rPr>
        <w:t>抗倒伏性评价</w:t>
      </w:r>
    </w:p>
    <w:p w14:paraId="719CCE12">
      <w:pPr>
        <w:keepNext w:val="0"/>
        <w:keepLines w:val="0"/>
        <w:pageBreakBefore w:val="0"/>
        <w:kinsoku/>
        <w:overflowPunct/>
        <w:topLinePunct w:val="0"/>
        <w:bidi w:val="0"/>
        <w:snapToGrid/>
        <w:ind w:left="0" w:firstLine="643" w:firstLineChars="200"/>
        <w:textAlignment w:val="auto"/>
        <w:rPr>
          <w:rFonts w:hint="default" w:ascii="仿宋_GB2312" w:hAnsi="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1、倒伏程度分级</w:t>
      </w:r>
    </w:p>
    <w:p w14:paraId="26331129">
      <w:pPr>
        <w:keepNext w:val="0"/>
        <w:keepLines w:val="0"/>
        <w:pageBreakBefore w:val="0"/>
        <w:kinsoku/>
        <w:overflowPunct/>
        <w:topLinePunct w:val="0"/>
        <w:bidi w:val="0"/>
        <w:snapToGrid/>
        <w:ind w:left="0" w:firstLine="640" w:firstLineChars="200"/>
        <w:textAlignment w:val="auto"/>
        <w:rPr>
          <w:rFonts w:hint="default" w:ascii="仿宋_GB2312" w:hAnsi="仿宋_GB2312" w:cs="仿宋_GB2312"/>
          <w:color w:val="auto"/>
          <w:sz w:val="32"/>
          <w:szCs w:val="32"/>
          <w:highlight w:val="none"/>
          <w:lang w:val="en-US" w:eastAsia="zh-CN"/>
        </w:rPr>
      </w:pPr>
      <w:r>
        <w:rPr>
          <w:rFonts w:hint="default" w:ascii="仿宋_GB2312" w:hAnsi="仿宋_GB2312" w:cs="仿宋_GB2312"/>
          <w:color w:val="auto"/>
          <w:sz w:val="32"/>
          <w:szCs w:val="32"/>
          <w:highlight w:val="none"/>
          <w:lang w:val="en-US" w:eastAsia="zh-CN"/>
        </w:rPr>
        <w:t>参照《GB/T 5262-2008  农业机械  试验条件测定方法的一般规定的划分方法》中对倒伏程度的划分，结合起草单位多年来抗倒伏品佳时间验证结果，根据倒伏角进行分级，甘蔗植株顶部生长点和茎秆基部联线与地面垂直线间的夹角为倒伏角。具体划分为：倒伏角在0°～30°之间为不倒伏；倒伏角在30°～60°之间为中等倒伏；倒伏角大于60°为严重倒伏。</w:t>
      </w:r>
    </w:p>
    <w:p w14:paraId="5ADB7955">
      <w:pPr>
        <w:keepNext w:val="0"/>
        <w:keepLines w:val="0"/>
        <w:pageBreakBefore w:val="0"/>
        <w:kinsoku/>
        <w:overflowPunct/>
        <w:topLinePunct w:val="0"/>
        <w:bidi w:val="0"/>
        <w:snapToGrid/>
        <w:ind w:left="0" w:firstLine="643" w:firstLineChars="200"/>
        <w:textAlignment w:val="auto"/>
        <w:rPr>
          <w:rFonts w:hint="default" w:ascii="仿宋_GB2312" w:hAnsi="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2、抗倒伏指数</w:t>
      </w:r>
    </w:p>
    <w:p w14:paraId="726D4B96">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抗倒伏指数的计算参照李朝生（5份香蕉种质对枯萎病的抗性评价）、谢子四（10份香蕉种质对枯萎病的抗性评价(简报)）中的方法，并经过试验验证适用与甘蔗抗倒伏评价。抗倒伏指数=∑(各级级别数×该级别株数)/调查株数。</w:t>
      </w:r>
    </w:p>
    <w:p w14:paraId="445ADC49">
      <w:pPr>
        <w:keepNext w:val="0"/>
        <w:keepLines w:val="0"/>
        <w:pageBreakBefore w:val="0"/>
        <w:kinsoku/>
        <w:overflowPunct/>
        <w:topLinePunct w:val="0"/>
        <w:bidi w:val="0"/>
        <w:snapToGrid/>
        <w:ind w:left="0" w:firstLine="640" w:firstLineChars="200"/>
        <w:textAlignment w:val="auto"/>
        <w:rPr>
          <w:rFonts w:hint="default"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通过上述试验调查，对甘蔗品种试验结果进行汇总分析处理，数据见表3。从表中可以看出，新植和宿根蔗试验的结果相似，不同倒伏类型的甘蔗品种的抗倒伏指数有显著差异，且与田间表型调查结果完全一致。直立类型GT42的抗倒伏指数接近3.0，严重倒伏类型GF98-296的抗倒伏指数小于1.2，中等倒伏类型ROC22和GT10-2003的抗倒伏指数介于两者之间。不同倒伏类型的甘蔗品种的抗倒伏系数差异不明显。</w:t>
      </w:r>
    </w:p>
    <w:p w14:paraId="329DAF28">
      <w:pPr>
        <w:pStyle w:val="11"/>
        <w:rPr>
          <w:rFonts w:hint="eastAsia" w:ascii="仿宋_GB2312" w:hAnsi="仿宋_GB2312" w:eastAsia="仿宋_GB2312" w:cs="仿宋_GB2312"/>
          <w:b/>
          <w:bCs/>
          <w:color w:val="auto"/>
          <w:kern w:val="0"/>
          <w:sz w:val="24"/>
          <w:szCs w:val="28"/>
          <w:highlight w:val="none"/>
          <w:vertAlign w:val="baseline"/>
          <w:lang w:val="en-US" w:eastAsia="zh-CN" w:bidi="ar-SA"/>
        </w:rPr>
      </w:pPr>
      <w:r>
        <w:rPr>
          <w:rFonts w:hint="eastAsia" w:ascii="仿宋_GB2312" w:hAnsi="仿宋_GB2312" w:eastAsia="仿宋_GB2312" w:cs="仿宋_GB2312"/>
          <w:b/>
          <w:bCs/>
          <w:color w:val="auto"/>
          <w:kern w:val="0"/>
          <w:sz w:val="24"/>
          <w:szCs w:val="28"/>
          <w:highlight w:val="none"/>
          <w:vertAlign w:val="baseline"/>
          <w:lang w:val="en-US" w:eastAsia="zh-CN" w:bidi="ar-SA"/>
        </w:rPr>
        <w:t>表3 不同倒伏类型甘蔗品种（系）的抗倒伏指数和抗倒伏系数</w:t>
      </w:r>
    </w:p>
    <w:tbl>
      <w:tblPr>
        <w:tblStyle w:val="6"/>
        <w:tblW w:w="5000"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45"/>
        <w:gridCol w:w="1279"/>
        <w:gridCol w:w="2774"/>
        <w:gridCol w:w="2776"/>
      </w:tblGrid>
      <w:tr w14:paraId="5546962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blHeader/>
          <w:jc w:val="center"/>
        </w:trPr>
        <w:tc>
          <w:tcPr>
            <w:tcW w:w="1975" w:type="pct"/>
            <w:gridSpan w:val="2"/>
            <w:tcBorders>
              <w:top w:val="single" w:color="auto" w:sz="4" w:space="0"/>
              <w:left w:val="single" w:color="auto" w:sz="4" w:space="0"/>
              <w:bottom w:val="single" w:color="auto" w:sz="4" w:space="0"/>
              <w:right w:val="single" w:color="auto" w:sz="4" w:space="0"/>
            </w:tcBorders>
            <w:noWrap/>
            <w:vAlign w:val="center"/>
          </w:tcPr>
          <w:p w14:paraId="665557E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品种（系）</w:t>
            </w:r>
          </w:p>
        </w:tc>
        <w:tc>
          <w:tcPr>
            <w:tcW w:w="1512" w:type="pct"/>
            <w:tcBorders>
              <w:top w:val="single" w:color="auto" w:sz="4" w:space="0"/>
              <w:left w:val="single" w:color="auto" w:sz="4" w:space="0"/>
              <w:bottom w:val="single" w:color="auto" w:sz="4" w:space="0"/>
              <w:right w:val="single" w:color="auto" w:sz="4" w:space="0"/>
            </w:tcBorders>
            <w:noWrap/>
            <w:vAlign w:val="center"/>
          </w:tcPr>
          <w:p w14:paraId="368871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抗倒伏指数LRI</w:t>
            </w:r>
          </w:p>
        </w:tc>
        <w:tc>
          <w:tcPr>
            <w:tcW w:w="1511" w:type="pct"/>
            <w:tcBorders>
              <w:top w:val="single" w:color="auto" w:sz="4" w:space="0"/>
              <w:left w:val="single" w:color="auto" w:sz="4" w:space="0"/>
              <w:bottom w:val="single" w:color="auto" w:sz="4" w:space="0"/>
              <w:right w:val="single" w:color="auto" w:sz="4" w:space="0"/>
            </w:tcBorders>
            <w:noWrap/>
            <w:vAlign w:val="center"/>
          </w:tcPr>
          <w:p w14:paraId="524C543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抗倒伏系数LRC</w:t>
            </w:r>
          </w:p>
        </w:tc>
      </w:tr>
      <w:tr w14:paraId="0EE8C92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PrEx>
        <w:trPr>
          <w:trHeight w:val="198" w:hRule="atLeast"/>
          <w:jc w:val="center"/>
        </w:trPr>
        <w:tc>
          <w:tcPr>
            <w:tcW w:w="1278" w:type="pct"/>
            <w:vMerge w:val="restart"/>
            <w:tcBorders>
              <w:top w:val="single" w:color="auto" w:sz="4" w:space="0"/>
              <w:left w:val="single" w:color="auto" w:sz="4" w:space="0"/>
              <w:bottom w:val="single" w:color="auto" w:sz="4" w:space="0"/>
              <w:right w:val="single" w:color="auto" w:sz="4" w:space="0"/>
            </w:tcBorders>
            <w:noWrap/>
            <w:vAlign w:val="center"/>
          </w:tcPr>
          <w:p w14:paraId="0FFBDC9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GF98-296</w:t>
            </w:r>
          </w:p>
        </w:tc>
        <w:tc>
          <w:tcPr>
            <w:tcW w:w="697" w:type="pct"/>
            <w:tcBorders>
              <w:top w:val="single" w:color="auto" w:sz="4" w:space="0"/>
              <w:left w:val="single" w:color="auto" w:sz="4" w:space="0"/>
              <w:bottom w:val="single" w:color="auto" w:sz="4" w:space="0"/>
              <w:right w:val="single" w:color="auto" w:sz="4" w:space="0"/>
            </w:tcBorders>
            <w:noWrap/>
            <w:vAlign w:val="center"/>
          </w:tcPr>
          <w:p w14:paraId="4C49848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新植</w:t>
            </w:r>
          </w:p>
        </w:tc>
        <w:tc>
          <w:tcPr>
            <w:tcW w:w="1512" w:type="pct"/>
            <w:tcBorders>
              <w:top w:val="single" w:color="auto" w:sz="4" w:space="0"/>
              <w:left w:val="single" w:color="auto" w:sz="4" w:space="0"/>
              <w:bottom w:val="single" w:color="auto" w:sz="4" w:space="0"/>
              <w:right w:val="single" w:color="auto" w:sz="4" w:space="0"/>
            </w:tcBorders>
            <w:noWrap/>
            <w:vAlign w:val="center"/>
          </w:tcPr>
          <w:p w14:paraId="3B6F52A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1.16±0.113e</w:t>
            </w:r>
          </w:p>
        </w:tc>
        <w:tc>
          <w:tcPr>
            <w:tcW w:w="1511" w:type="pct"/>
            <w:tcBorders>
              <w:top w:val="single" w:color="auto" w:sz="4" w:space="0"/>
              <w:left w:val="single" w:color="auto" w:sz="4" w:space="0"/>
              <w:bottom w:val="single" w:color="auto" w:sz="4" w:space="0"/>
              <w:right w:val="single" w:color="auto" w:sz="4" w:space="0"/>
            </w:tcBorders>
            <w:noWrap/>
            <w:vAlign w:val="center"/>
          </w:tcPr>
          <w:p w14:paraId="38C23E9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0.97±0.015bc</w:t>
            </w:r>
          </w:p>
        </w:tc>
      </w:tr>
      <w:tr w14:paraId="3A30708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278" w:type="pct"/>
            <w:vMerge w:val="continue"/>
            <w:tcBorders>
              <w:top w:val="single" w:color="auto" w:sz="4" w:space="0"/>
              <w:left w:val="single" w:color="auto" w:sz="4" w:space="0"/>
              <w:bottom w:val="single" w:color="auto" w:sz="4" w:space="0"/>
              <w:right w:val="single" w:color="auto" w:sz="4" w:space="0"/>
            </w:tcBorders>
            <w:vAlign w:val="center"/>
          </w:tcPr>
          <w:p w14:paraId="1378C46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697" w:type="pct"/>
            <w:tcBorders>
              <w:top w:val="single" w:color="auto" w:sz="4" w:space="0"/>
              <w:left w:val="single" w:color="auto" w:sz="4" w:space="0"/>
              <w:bottom w:val="single" w:color="auto" w:sz="4" w:space="0"/>
              <w:right w:val="single" w:color="auto" w:sz="4" w:space="0"/>
            </w:tcBorders>
            <w:noWrap/>
            <w:vAlign w:val="center"/>
          </w:tcPr>
          <w:p w14:paraId="1B12FC2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宿根</w:t>
            </w:r>
          </w:p>
        </w:tc>
        <w:tc>
          <w:tcPr>
            <w:tcW w:w="1512" w:type="pct"/>
            <w:tcBorders>
              <w:top w:val="single" w:color="auto" w:sz="4" w:space="0"/>
              <w:left w:val="single" w:color="auto" w:sz="4" w:space="0"/>
              <w:bottom w:val="single" w:color="auto" w:sz="4" w:space="0"/>
              <w:right w:val="single" w:color="auto" w:sz="4" w:space="0"/>
            </w:tcBorders>
            <w:noWrap/>
            <w:vAlign w:val="center"/>
          </w:tcPr>
          <w:p w14:paraId="42605D7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1.15±0.022e</w:t>
            </w:r>
          </w:p>
        </w:tc>
        <w:tc>
          <w:tcPr>
            <w:tcW w:w="1511" w:type="pct"/>
            <w:tcBorders>
              <w:top w:val="single" w:color="auto" w:sz="4" w:space="0"/>
              <w:left w:val="single" w:color="auto" w:sz="4" w:space="0"/>
              <w:bottom w:val="single" w:color="auto" w:sz="4" w:space="0"/>
              <w:right w:val="single" w:color="auto" w:sz="4" w:space="0"/>
            </w:tcBorders>
            <w:noWrap/>
            <w:vAlign w:val="center"/>
          </w:tcPr>
          <w:p w14:paraId="05EEEE1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0.94±0.031c</w:t>
            </w:r>
          </w:p>
        </w:tc>
      </w:tr>
      <w:tr w14:paraId="65F5FF5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278" w:type="pct"/>
            <w:vMerge w:val="restart"/>
            <w:tcBorders>
              <w:top w:val="single" w:color="auto" w:sz="4" w:space="0"/>
              <w:left w:val="single" w:color="auto" w:sz="4" w:space="0"/>
              <w:bottom w:val="single" w:color="auto" w:sz="4" w:space="0"/>
              <w:right w:val="single" w:color="auto" w:sz="4" w:space="0"/>
            </w:tcBorders>
            <w:noWrap/>
            <w:vAlign w:val="center"/>
          </w:tcPr>
          <w:p w14:paraId="6F5996C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ROC22</w:t>
            </w:r>
          </w:p>
        </w:tc>
        <w:tc>
          <w:tcPr>
            <w:tcW w:w="697" w:type="pct"/>
            <w:tcBorders>
              <w:top w:val="single" w:color="auto" w:sz="4" w:space="0"/>
              <w:left w:val="single" w:color="auto" w:sz="4" w:space="0"/>
              <w:bottom w:val="single" w:color="auto" w:sz="4" w:space="0"/>
              <w:right w:val="single" w:color="auto" w:sz="4" w:space="0"/>
            </w:tcBorders>
            <w:noWrap/>
            <w:vAlign w:val="center"/>
          </w:tcPr>
          <w:p w14:paraId="5AFB134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新植</w:t>
            </w:r>
          </w:p>
        </w:tc>
        <w:tc>
          <w:tcPr>
            <w:tcW w:w="1512" w:type="pct"/>
            <w:tcBorders>
              <w:top w:val="single" w:color="auto" w:sz="4" w:space="0"/>
              <w:left w:val="single" w:color="auto" w:sz="4" w:space="0"/>
              <w:bottom w:val="single" w:color="auto" w:sz="4" w:space="0"/>
              <w:right w:val="single" w:color="auto" w:sz="4" w:space="0"/>
            </w:tcBorders>
            <w:noWrap/>
            <w:vAlign w:val="center"/>
          </w:tcPr>
          <w:p w14:paraId="6D2099A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2.28±0.303b</w:t>
            </w:r>
          </w:p>
        </w:tc>
        <w:tc>
          <w:tcPr>
            <w:tcW w:w="1511" w:type="pct"/>
            <w:tcBorders>
              <w:top w:val="single" w:color="auto" w:sz="4" w:space="0"/>
              <w:left w:val="single" w:color="auto" w:sz="4" w:space="0"/>
              <w:bottom w:val="single" w:color="auto" w:sz="4" w:space="0"/>
              <w:right w:val="single" w:color="auto" w:sz="4" w:space="0"/>
            </w:tcBorders>
            <w:noWrap/>
            <w:vAlign w:val="center"/>
          </w:tcPr>
          <w:p w14:paraId="16B2D73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0.98±0.041bc</w:t>
            </w:r>
          </w:p>
        </w:tc>
      </w:tr>
      <w:tr w14:paraId="01E3A16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278" w:type="pct"/>
            <w:vMerge w:val="continue"/>
            <w:tcBorders>
              <w:top w:val="single" w:color="auto" w:sz="4" w:space="0"/>
              <w:left w:val="single" w:color="auto" w:sz="4" w:space="0"/>
              <w:bottom w:val="single" w:color="auto" w:sz="4" w:space="0"/>
              <w:right w:val="single" w:color="auto" w:sz="4" w:space="0"/>
            </w:tcBorders>
            <w:vAlign w:val="center"/>
          </w:tcPr>
          <w:p w14:paraId="295086B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697" w:type="pct"/>
            <w:tcBorders>
              <w:top w:val="single" w:color="auto" w:sz="4" w:space="0"/>
              <w:left w:val="single" w:color="auto" w:sz="4" w:space="0"/>
              <w:bottom w:val="single" w:color="auto" w:sz="4" w:space="0"/>
              <w:right w:val="single" w:color="auto" w:sz="4" w:space="0"/>
            </w:tcBorders>
            <w:noWrap/>
            <w:vAlign w:val="center"/>
          </w:tcPr>
          <w:p w14:paraId="114CEE7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宿根</w:t>
            </w:r>
          </w:p>
        </w:tc>
        <w:tc>
          <w:tcPr>
            <w:tcW w:w="1512" w:type="pct"/>
            <w:tcBorders>
              <w:top w:val="single" w:color="auto" w:sz="4" w:space="0"/>
              <w:left w:val="single" w:color="auto" w:sz="4" w:space="0"/>
              <w:bottom w:val="single" w:color="auto" w:sz="4" w:space="0"/>
              <w:right w:val="single" w:color="auto" w:sz="4" w:space="0"/>
            </w:tcBorders>
            <w:noWrap/>
            <w:vAlign w:val="center"/>
          </w:tcPr>
          <w:p w14:paraId="4F6589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2.05±0.101bc</w:t>
            </w:r>
          </w:p>
        </w:tc>
        <w:tc>
          <w:tcPr>
            <w:tcW w:w="1511" w:type="pct"/>
            <w:tcBorders>
              <w:top w:val="single" w:color="auto" w:sz="4" w:space="0"/>
              <w:left w:val="single" w:color="auto" w:sz="4" w:space="0"/>
              <w:bottom w:val="single" w:color="auto" w:sz="4" w:space="0"/>
              <w:right w:val="single" w:color="auto" w:sz="4" w:space="0"/>
            </w:tcBorders>
            <w:noWrap/>
            <w:vAlign w:val="center"/>
          </w:tcPr>
          <w:p w14:paraId="055AA7C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0.97±0.033bc</w:t>
            </w:r>
          </w:p>
        </w:tc>
      </w:tr>
      <w:tr w14:paraId="6E3A943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278" w:type="pct"/>
            <w:vMerge w:val="restart"/>
            <w:tcBorders>
              <w:top w:val="single" w:color="auto" w:sz="4" w:space="0"/>
              <w:left w:val="single" w:color="auto" w:sz="4" w:space="0"/>
              <w:bottom w:val="single" w:color="auto" w:sz="4" w:space="0"/>
              <w:right w:val="single" w:color="auto" w:sz="4" w:space="0"/>
            </w:tcBorders>
            <w:vAlign w:val="center"/>
          </w:tcPr>
          <w:p w14:paraId="14B324D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GT10-2003</w:t>
            </w:r>
          </w:p>
        </w:tc>
        <w:tc>
          <w:tcPr>
            <w:tcW w:w="697" w:type="pct"/>
            <w:tcBorders>
              <w:top w:val="single" w:color="auto" w:sz="4" w:space="0"/>
              <w:left w:val="single" w:color="auto" w:sz="4" w:space="0"/>
              <w:bottom w:val="single" w:color="auto" w:sz="4" w:space="0"/>
              <w:right w:val="single" w:color="auto" w:sz="4" w:space="0"/>
            </w:tcBorders>
            <w:noWrap/>
            <w:vAlign w:val="center"/>
          </w:tcPr>
          <w:p w14:paraId="3799FA3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新植</w:t>
            </w:r>
          </w:p>
        </w:tc>
        <w:tc>
          <w:tcPr>
            <w:tcW w:w="1512" w:type="pct"/>
            <w:tcBorders>
              <w:top w:val="single" w:color="auto" w:sz="4" w:space="0"/>
              <w:left w:val="single" w:color="auto" w:sz="4" w:space="0"/>
              <w:bottom w:val="single" w:color="auto" w:sz="4" w:space="0"/>
              <w:right w:val="single" w:color="auto" w:sz="4" w:space="0"/>
            </w:tcBorders>
            <w:noWrap/>
            <w:vAlign w:val="center"/>
          </w:tcPr>
          <w:p w14:paraId="29210F3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1.90±0.433cd</w:t>
            </w:r>
          </w:p>
        </w:tc>
        <w:tc>
          <w:tcPr>
            <w:tcW w:w="1511" w:type="pct"/>
            <w:tcBorders>
              <w:top w:val="single" w:color="auto" w:sz="4" w:space="0"/>
              <w:left w:val="single" w:color="auto" w:sz="4" w:space="0"/>
              <w:bottom w:val="single" w:color="auto" w:sz="4" w:space="0"/>
              <w:right w:val="single" w:color="auto" w:sz="4" w:space="0"/>
            </w:tcBorders>
            <w:noWrap/>
            <w:vAlign w:val="center"/>
          </w:tcPr>
          <w:p w14:paraId="74514E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1.01±0.075ab</w:t>
            </w:r>
          </w:p>
        </w:tc>
      </w:tr>
      <w:tr w14:paraId="3FA58A8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278" w:type="pct"/>
            <w:vMerge w:val="continue"/>
            <w:tcBorders>
              <w:top w:val="single" w:color="auto" w:sz="4" w:space="0"/>
              <w:left w:val="single" w:color="auto" w:sz="4" w:space="0"/>
              <w:bottom w:val="single" w:color="auto" w:sz="4" w:space="0"/>
              <w:right w:val="single" w:color="auto" w:sz="4" w:space="0"/>
            </w:tcBorders>
            <w:vAlign w:val="center"/>
          </w:tcPr>
          <w:p w14:paraId="585431E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697" w:type="pct"/>
            <w:tcBorders>
              <w:top w:val="single" w:color="auto" w:sz="4" w:space="0"/>
              <w:left w:val="single" w:color="auto" w:sz="4" w:space="0"/>
              <w:bottom w:val="single" w:color="auto" w:sz="4" w:space="0"/>
              <w:right w:val="single" w:color="auto" w:sz="4" w:space="0"/>
            </w:tcBorders>
            <w:noWrap/>
            <w:vAlign w:val="center"/>
          </w:tcPr>
          <w:p w14:paraId="310A7E5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宿根</w:t>
            </w:r>
          </w:p>
        </w:tc>
        <w:tc>
          <w:tcPr>
            <w:tcW w:w="1512" w:type="pct"/>
            <w:tcBorders>
              <w:top w:val="single" w:color="auto" w:sz="4" w:space="0"/>
              <w:left w:val="single" w:color="auto" w:sz="4" w:space="0"/>
              <w:bottom w:val="single" w:color="auto" w:sz="4" w:space="0"/>
              <w:right w:val="single" w:color="auto" w:sz="4" w:space="0"/>
            </w:tcBorders>
            <w:noWrap/>
            <w:vAlign w:val="center"/>
          </w:tcPr>
          <w:p w14:paraId="7A9DEE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1.72±0.037d</w:t>
            </w:r>
          </w:p>
        </w:tc>
        <w:tc>
          <w:tcPr>
            <w:tcW w:w="1511" w:type="pct"/>
            <w:tcBorders>
              <w:top w:val="single" w:color="auto" w:sz="4" w:space="0"/>
              <w:left w:val="single" w:color="auto" w:sz="4" w:space="0"/>
              <w:bottom w:val="single" w:color="auto" w:sz="4" w:space="0"/>
              <w:right w:val="single" w:color="auto" w:sz="4" w:space="0"/>
            </w:tcBorders>
            <w:noWrap/>
            <w:vAlign w:val="center"/>
          </w:tcPr>
          <w:p w14:paraId="17D774B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0.97±0.057bc</w:t>
            </w:r>
          </w:p>
        </w:tc>
      </w:tr>
      <w:tr w14:paraId="7513FCA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278" w:type="pct"/>
            <w:vMerge w:val="restart"/>
            <w:tcBorders>
              <w:top w:val="single" w:color="auto" w:sz="4" w:space="0"/>
              <w:left w:val="single" w:color="auto" w:sz="4" w:space="0"/>
              <w:bottom w:val="single" w:color="auto" w:sz="4" w:space="0"/>
              <w:right w:val="single" w:color="auto" w:sz="4" w:space="0"/>
            </w:tcBorders>
            <w:noWrap/>
            <w:vAlign w:val="center"/>
          </w:tcPr>
          <w:p w14:paraId="4CC0A5D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GT42</w:t>
            </w:r>
          </w:p>
        </w:tc>
        <w:tc>
          <w:tcPr>
            <w:tcW w:w="697" w:type="pct"/>
            <w:tcBorders>
              <w:top w:val="single" w:color="auto" w:sz="4" w:space="0"/>
              <w:left w:val="single" w:color="auto" w:sz="4" w:space="0"/>
              <w:bottom w:val="single" w:color="auto" w:sz="4" w:space="0"/>
              <w:right w:val="single" w:color="auto" w:sz="4" w:space="0"/>
            </w:tcBorders>
            <w:noWrap/>
            <w:vAlign w:val="center"/>
          </w:tcPr>
          <w:p w14:paraId="15A76E3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新植</w:t>
            </w:r>
          </w:p>
        </w:tc>
        <w:tc>
          <w:tcPr>
            <w:tcW w:w="1512" w:type="pct"/>
            <w:tcBorders>
              <w:top w:val="single" w:color="auto" w:sz="4" w:space="0"/>
              <w:left w:val="single" w:color="auto" w:sz="4" w:space="0"/>
              <w:bottom w:val="single" w:color="auto" w:sz="4" w:space="0"/>
              <w:right w:val="single" w:color="auto" w:sz="4" w:space="0"/>
            </w:tcBorders>
            <w:noWrap/>
            <w:vAlign w:val="center"/>
          </w:tcPr>
          <w:p w14:paraId="533D166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2.98±0.000a</w:t>
            </w:r>
          </w:p>
        </w:tc>
        <w:tc>
          <w:tcPr>
            <w:tcW w:w="1511" w:type="pct"/>
            <w:tcBorders>
              <w:top w:val="single" w:color="auto" w:sz="4" w:space="0"/>
              <w:left w:val="single" w:color="auto" w:sz="4" w:space="0"/>
              <w:bottom w:val="single" w:color="auto" w:sz="4" w:space="0"/>
              <w:right w:val="single" w:color="auto" w:sz="4" w:space="0"/>
            </w:tcBorders>
            <w:noWrap/>
            <w:vAlign w:val="center"/>
          </w:tcPr>
          <w:p w14:paraId="6990DA4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1.04±0.040a</w:t>
            </w:r>
          </w:p>
        </w:tc>
      </w:tr>
      <w:tr w14:paraId="15A94D0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1278" w:type="pct"/>
            <w:vMerge w:val="continue"/>
            <w:tcBorders>
              <w:top w:val="single" w:color="auto" w:sz="4" w:space="0"/>
              <w:left w:val="single" w:color="auto" w:sz="4" w:space="0"/>
              <w:bottom w:val="single" w:color="auto" w:sz="4" w:space="0"/>
              <w:right w:val="single" w:color="auto" w:sz="4" w:space="0"/>
            </w:tcBorders>
            <w:vAlign w:val="center"/>
          </w:tcPr>
          <w:p w14:paraId="1AD1CCA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697" w:type="pct"/>
            <w:tcBorders>
              <w:top w:val="single" w:color="auto" w:sz="4" w:space="0"/>
              <w:left w:val="single" w:color="auto" w:sz="4" w:space="0"/>
              <w:bottom w:val="single" w:color="auto" w:sz="4" w:space="0"/>
              <w:right w:val="single" w:color="auto" w:sz="4" w:space="0"/>
            </w:tcBorders>
            <w:noWrap/>
            <w:vAlign w:val="center"/>
          </w:tcPr>
          <w:p w14:paraId="7DA5A92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宿根</w:t>
            </w:r>
          </w:p>
        </w:tc>
        <w:tc>
          <w:tcPr>
            <w:tcW w:w="1512" w:type="pct"/>
            <w:tcBorders>
              <w:top w:val="single" w:color="auto" w:sz="4" w:space="0"/>
              <w:left w:val="single" w:color="auto" w:sz="4" w:space="0"/>
              <w:bottom w:val="single" w:color="auto" w:sz="4" w:space="0"/>
              <w:right w:val="single" w:color="auto" w:sz="4" w:space="0"/>
            </w:tcBorders>
            <w:noWrap/>
            <w:vAlign w:val="center"/>
          </w:tcPr>
          <w:p w14:paraId="5756AE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2.95±0.000a</w:t>
            </w:r>
          </w:p>
        </w:tc>
        <w:tc>
          <w:tcPr>
            <w:tcW w:w="1511" w:type="pct"/>
            <w:tcBorders>
              <w:top w:val="single" w:color="auto" w:sz="4" w:space="0"/>
              <w:left w:val="single" w:color="auto" w:sz="4" w:space="0"/>
              <w:bottom w:val="single" w:color="auto" w:sz="4" w:space="0"/>
              <w:right w:val="single" w:color="auto" w:sz="4" w:space="0"/>
            </w:tcBorders>
            <w:noWrap/>
            <w:vAlign w:val="center"/>
          </w:tcPr>
          <w:p w14:paraId="3381CD2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1.04±0.020a</w:t>
            </w:r>
          </w:p>
        </w:tc>
      </w:tr>
      <w:tr w14:paraId="15ECE07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jc w:val="center"/>
        </w:trPr>
        <w:tc>
          <w:tcPr>
            <w:tcW w:w="5000" w:type="pct"/>
            <w:gridSpan w:val="4"/>
            <w:tcBorders>
              <w:top w:val="single" w:color="auto" w:sz="4" w:space="0"/>
              <w:left w:val="single" w:color="auto" w:sz="4" w:space="0"/>
              <w:right w:val="single" w:color="auto" w:sz="4" w:space="0"/>
            </w:tcBorders>
            <w:vAlign w:val="center"/>
          </w:tcPr>
          <w:p w14:paraId="150B5F52">
            <w:pPr>
              <w:rPr>
                <w:rFonts w:hint="eastAsia" w:ascii="仿宋_GB2312" w:hAnsi="仿宋_GB2312" w:eastAsia="仿宋_GB2312" w:cs="仿宋_GB2312"/>
                <w:b/>
                <w:bCs/>
                <w:color w:val="auto"/>
                <w:sz w:val="24"/>
                <w:szCs w:val="24"/>
                <w:highlight w:val="none"/>
              </w:rPr>
            </w:pPr>
            <w:r>
              <w:rPr>
                <w:color w:val="auto"/>
                <w:sz w:val="18"/>
                <w:szCs w:val="18"/>
                <w:highlight w:val="none"/>
              </w:rPr>
              <w:t>注：表中数据为3次重复的平均值±</w:t>
            </w:r>
            <w:r>
              <w:rPr>
                <w:rFonts w:hint="eastAsia"/>
                <w:color w:val="auto"/>
                <w:sz w:val="18"/>
                <w:szCs w:val="18"/>
                <w:highlight w:val="none"/>
              </w:rPr>
              <w:t>标准误</w:t>
            </w:r>
            <w:r>
              <w:rPr>
                <w:color w:val="auto"/>
                <w:sz w:val="18"/>
                <w:szCs w:val="18"/>
                <w:highlight w:val="none"/>
              </w:rPr>
              <w:t>，同一列中不同小写字母表示在0.05水平上差异显著(Duncan’s新复极差法，下同)。</w:t>
            </w:r>
          </w:p>
        </w:tc>
      </w:tr>
    </w:tbl>
    <w:p w14:paraId="1E203F0B">
      <w:pPr>
        <w:keepNext w:val="0"/>
        <w:keepLines w:val="0"/>
        <w:pageBreakBefore w:val="0"/>
        <w:kinsoku/>
        <w:overflowPunct/>
        <w:topLinePunct w:val="0"/>
        <w:bidi w:val="0"/>
        <w:snapToGrid/>
        <w:ind w:left="0" w:firstLine="643" w:firstLineChars="200"/>
        <w:textAlignment w:val="auto"/>
        <w:rPr>
          <w:rFonts w:hint="default" w:ascii="仿宋_GB2312" w:hAnsi="仿宋_GB2312" w:eastAsia="仿宋_GB2312" w:cs="仿宋_GB2312"/>
          <w:b/>
          <w:color w:val="auto"/>
          <w:kern w:val="2"/>
          <w:sz w:val="32"/>
          <w:szCs w:val="32"/>
          <w:highlight w:val="none"/>
          <w:lang w:val="en-US" w:eastAsia="zh-CN" w:bidi="ar-SA"/>
        </w:rPr>
      </w:pPr>
      <w:r>
        <w:rPr>
          <w:rFonts w:hint="eastAsia" w:ascii="仿宋_GB2312" w:hAnsi="仿宋_GB2312" w:cs="仿宋_GB2312"/>
          <w:b/>
          <w:color w:val="auto"/>
          <w:kern w:val="2"/>
          <w:sz w:val="32"/>
          <w:szCs w:val="32"/>
          <w:highlight w:val="none"/>
          <w:lang w:val="en-US" w:eastAsia="zh-CN" w:bidi="ar-SA"/>
        </w:rPr>
        <w:t>（五）</w:t>
      </w:r>
      <w:r>
        <w:rPr>
          <w:rFonts w:hint="eastAsia" w:ascii="仿宋_GB2312" w:hAnsi="仿宋_GB2312" w:eastAsia="仿宋_GB2312" w:cs="仿宋_GB2312"/>
          <w:b/>
          <w:color w:val="auto"/>
          <w:kern w:val="2"/>
          <w:sz w:val="32"/>
          <w:szCs w:val="32"/>
          <w:highlight w:val="none"/>
          <w:lang w:val="en-US" w:eastAsia="zh-CN" w:bidi="ar-SA"/>
        </w:rPr>
        <w:t>甘蔗实生苗评价</w:t>
      </w:r>
    </w:p>
    <w:p w14:paraId="7871D26E">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通过上述实试验调查，数据见表4。可以分析得出，不同倒伏类型甘蔗的农艺性状表现都有显著差异。锤度随着倒伏程度的加重呈下降趋势，严重倒伏甘蔗类型的锤度显著低于其他两个类型。茎径的大小与倒伏程度成反比，无论是中部还是下部的茎径，茎径越大越抗倒伏。从抗倒伏系数分析可以看出，比值接近或等于1的抗倒伏能力强。基部细，中部粗的茎形倒伏发生较严重。</w:t>
      </w:r>
    </w:p>
    <w:p w14:paraId="2A4423D4">
      <w:pPr>
        <w:pStyle w:val="11"/>
        <w:rPr>
          <w:rFonts w:hint="eastAsia" w:ascii="仿宋_GB2312" w:hAnsi="仿宋_GB2312" w:eastAsia="仿宋_GB2312" w:cs="仿宋_GB2312"/>
          <w:b/>
          <w:bCs/>
          <w:color w:val="auto"/>
          <w:kern w:val="0"/>
          <w:sz w:val="24"/>
          <w:szCs w:val="28"/>
          <w:highlight w:val="none"/>
          <w:vertAlign w:val="baseline"/>
          <w:lang w:val="en-US" w:eastAsia="zh-CN" w:bidi="ar-SA"/>
        </w:rPr>
      </w:pPr>
      <w:r>
        <w:rPr>
          <w:rFonts w:hint="eastAsia" w:ascii="仿宋_GB2312" w:hAnsi="仿宋_GB2312" w:eastAsia="仿宋_GB2312" w:cs="仿宋_GB2312"/>
          <w:b/>
          <w:bCs/>
          <w:color w:val="auto"/>
          <w:kern w:val="0"/>
          <w:sz w:val="24"/>
          <w:szCs w:val="28"/>
          <w:highlight w:val="none"/>
          <w:vertAlign w:val="baseline"/>
          <w:lang w:val="en-US" w:eastAsia="zh-CN" w:bidi="ar-SA"/>
        </w:rPr>
        <w:t>表4 不同倒伏类型与甘蔗农艺性状的关系</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1855"/>
        <w:gridCol w:w="1871"/>
        <w:gridCol w:w="1871"/>
        <w:gridCol w:w="2027"/>
      </w:tblGrid>
      <w:tr w14:paraId="62A1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pct"/>
            <w:vAlign w:val="center"/>
          </w:tcPr>
          <w:p w14:paraId="131F561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类型</w:t>
            </w:r>
          </w:p>
        </w:tc>
        <w:tc>
          <w:tcPr>
            <w:tcW w:w="1011" w:type="pct"/>
            <w:vAlign w:val="center"/>
          </w:tcPr>
          <w:p w14:paraId="1C09E27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锤度(°Bx)</w:t>
            </w:r>
          </w:p>
        </w:tc>
        <w:tc>
          <w:tcPr>
            <w:tcW w:w="1020" w:type="pct"/>
            <w:vAlign w:val="center"/>
          </w:tcPr>
          <w:p w14:paraId="1D3709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基部茎径(cm)</w:t>
            </w:r>
          </w:p>
        </w:tc>
        <w:tc>
          <w:tcPr>
            <w:tcW w:w="1020" w:type="pct"/>
            <w:vAlign w:val="center"/>
          </w:tcPr>
          <w:p w14:paraId="0FA99B1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中部茎径(cm)</w:t>
            </w:r>
          </w:p>
        </w:tc>
        <w:tc>
          <w:tcPr>
            <w:tcW w:w="1104" w:type="pct"/>
            <w:vAlign w:val="center"/>
          </w:tcPr>
          <w:p w14:paraId="0C6A3C8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抗倒伏系数LRC</w:t>
            </w:r>
          </w:p>
        </w:tc>
      </w:tr>
      <w:tr w14:paraId="4F0F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pct"/>
            <w:vAlign w:val="center"/>
          </w:tcPr>
          <w:p w14:paraId="6FA42D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直立</w:t>
            </w:r>
          </w:p>
        </w:tc>
        <w:tc>
          <w:tcPr>
            <w:tcW w:w="1011" w:type="pct"/>
            <w:vAlign w:val="center"/>
          </w:tcPr>
          <w:p w14:paraId="086F54B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19.8±0.888a</w:t>
            </w:r>
          </w:p>
        </w:tc>
        <w:tc>
          <w:tcPr>
            <w:tcW w:w="1020" w:type="pct"/>
            <w:vAlign w:val="center"/>
          </w:tcPr>
          <w:p w14:paraId="32129BA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2.37±0.209a</w:t>
            </w:r>
          </w:p>
        </w:tc>
        <w:tc>
          <w:tcPr>
            <w:tcW w:w="1020" w:type="pct"/>
            <w:vAlign w:val="center"/>
          </w:tcPr>
          <w:p w14:paraId="0EEAD42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2.36±0.202a</w:t>
            </w:r>
          </w:p>
        </w:tc>
        <w:tc>
          <w:tcPr>
            <w:tcW w:w="1104" w:type="pct"/>
            <w:vAlign w:val="center"/>
          </w:tcPr>
          <w:p w14:paraId="61D8A3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1.00±0.050a</w:t>
            </w:r>
          </w:p>
        </w:tc>
      </w:tr>
      <w:tr w14:paraId="3EDA7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pct"/>
            <w:vAlign w:val="center"/>
          </w:tcPr>
          <w:p w14:paraId="23F0069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中等倒伏</w:t>
            </w:r>
          </w:p>
        </w:tc>
        <w:tc>
          <w:tcPr>
            <w:tcW w:w="1011" w:type="pct"/>
            <w:vAlign w:val="center"/>
          </w:tcPr>
          <w:p w14:paraId="4A3AB38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19.6±0.99b</w:t>
            </w:r>
          </w:p>
        </w:tc>
        <w:tc>
          <w:tcPr>
            <w:tcW w:w="1020" w:type="pct"/>
            <w:vAlign w:val="center"/>
          </w:tcPr>
          <w:p w14:paraId="490599C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2.25±0.168b</w:t>
            </w:r>
          </w:p>
        </w:tc>
        <w:tc>
          <w:tcPr>
            <w:tcW w:w="1020" w:type="pct"/>
            <w:vAlign w:val="center"/>
          </w:tcPr>
          <w:p w14:paraId="76EA5F4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2.31±0.172b</w:t>
            </w:r>
          </w:p>
        </w:tc>
        <w:tc>
          <w:tcPr>
            <w:tcW w:w="1104" w:type="pct"/>
            <w:vAlign w:val="center"/>
          </w:tcPr>
          <w:p w14:paraId="1856392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0.977±0.045b</w:t>
            </w:r>
          </w:p>
        </w:tc>
      </w:tr>
      <w:tr w14:paraId="3570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pct"/>
            <w:vAlign w:val="center"/>
          </w:tcPr>
          <w:p w14:paraId="5E17678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严重倒伏</w:t>
            </w:r>
          </w:p>
        </w:tc>
        <w:tc>
          <w:tcPr>
            <w:tcW w:w="1011" w:type="pct"/>
            <w:vAlign w:val="center"/>
          </w:tcPr>
          <w:p w14:paraId="42EA718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19.3±1.24c</w:t>
            </w:r>
          </w:p>
        </w:tc>
        <w:tc>
          <w:tcPr>
            <w:tcW w:w="1020" w:type="pct"/>
            <w:vAlign w:val="center"/>
          </w:tcPr>
          <w:p w14:paraId="3712A56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2.06±0.180c</w:t>
            </w:r>
          </w:p>
        </w:tc>
        <w:tc>
          <w:tcPr>
            <w:tcW w:w="1020" w:type="pct"/>
            <w:vAlign w:val="center"/>
          </w:tcPr>
          <w:p w14:paraId="615F69C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2.19±0.185c</w:t>
            </w:r>
          </w:p>
        </w:tc>
        <w:tc>
          <w:tcPr>
            <w:tcW w:w="1104" w:type="pct"/>
            <w:vAlign w:val="center"/>
          </w:tcPr>
          <w:p w14:paraId="246AEF6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0.944±0.048c</w:t>
            </w:r>
          </w:p>
        </w:tc>
      </w:tr>
    </w:tbl>
    <w:p w14:paraId="14AAE31E">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抗倒伏指数与基部茎径、中部茎径呈极显著正相关；抗倒伏指数与抗倒伏系数、锤度呈显著正相关（表5）。这些结果说明，甘蔗基部和中部茎径的比值大有利于抗倒伏；倒伏发生将降低甘蔗锤度。</w:t>
      </w:r>
    </w:p>
    <w:p w14:paraId="68AFF808">
      <w:pPr>
        <w:pStyle w:val="11"/>
        <w:rPr>
          <w:rFonts w:hint="eastAsia" w:ascii="仿宋_GB2312" w:hAnsi="仿宋_GB2312" w:eastAsia="仿宋_GB2312" w:cs="仿宋_GB2312"/>
          <w:b/>
          <w:bCs/>
          <w:color w:val="auto"/>
          <w:kern w:val="0"/>
          <w:sz w:val="24"/>
          <w:szCs w:val="28"/>
          <w:highlight w:val="none"/>
          <w:vertAlign w:val="baseline"/>
          <w:lang w:val="en-US" w:eastAsia="zh-CN" w:bidi="ar-SA"/>
        </w:rPr>
      </w:pPr>
      <w:r>
        <w:rPr>
          <w:rFonts w:hint="eastAsia" w:ascii="仿宋_GB2312" w:hAnsi="仿宋_GB2312" w:eastAsia="仿宋_GB2312" w:cs="仿宋_GB2312"/>
          <w:b/>
          <w:bCs/>
          <w:color w:val="auto"/>
          <w:kern w:val="0"/>
          <w:sz w:val="24"/>
          <w:szCs w:val="28"/>
          <w:highlight w:val="none"/>
          <w:vertAlign w:val="baseline"/>
          <w:lang w:val="en-US" w:eastAsia="zh-CN" w:bidi="ar-SA"/>
        </w:rPr>
        <w:t>表5 不同倒伏类型甘蔗参数的相关性分析</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2"/>
        <w:gridCol w:w="2022"/>
        <w:gridCol w:w="2022"/>
        <w:gridCol w:w="1424"/>
        <w:gridCol w:w="1684"/>
      </w:tblGrid>
      <w:tr w14:paraId="7B17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02" w:type="pct"/>
            <w:noWrap/>
            <w:vAlign w:val="center"/>
          </w:tcPr>
          <w:p w14:paraId="41CB466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相关系数</w:t>
            </w:r>
          </w:p>
        </w:tc>
        <w:tc>
          <w:tcPr>
            <w:tcW w:w="1102" w:type="pct"/>
            <w:noWrap/>
            <w:vAlign w:val="center"/>
          </w:tcPr>
          <w:p w14:paraId="077622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抗倒伏指数LRI</w:t>
            </w:r>
          </w:p>
        </w:tc>
        <w:tc>
          <w:tcPr>
            <w:tcW w:w="1102" w:type="pct"/>
            <w:noWrap/>
            <w:vAlign w:val="center"/>
          </w:tcPr>
          <w:p w14:paraId="126FE45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抗倒伏系数LRC</w:t>
            </w:r>
          </w:p>
        </w:tc>
        <w:tc>
          <w:tcPr>
            <w:tcW w:w="776" w:type="pct"/>
            <w:noWrap/>
            <w:vAlign w:val="center"/>
          </w:tcPr>
          <w:p w14:paraId="5124D44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锤度(°Bx)</w:t>
            </w:r>
          </w:p>
        </w:tc>
        <w:tc>
          <w:tcPr>
            <w:tcW w:w="917" w:type="pct"/>
            <w:noWrap/>
            <w:vAlign w:val="center"/>
          </w:tcPr>
          <w:p w14:paraId="582413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基部茎径(cm)</w:t>
            </w:r>
          </w:p>
        </w:tc>
      </w:tr>
      <w:tr w14:paraId="3DB8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02" w:type="pct"/>
            <w:noWrap/>
            <w:vAlign w:val="center"/>
          </w:tcPr>
          <w:p w14:paraId="6AAF3F8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抗倒伏系数LRC</w:t>
            </w:r>
          </w:p>
        </w:tc>
        <w:tc>
          <w:tcPr>
            <w:tcW w:w="1102" w:type="pct"/>
            <w:noWrap/>
            <w:vAlign w:val="center"/>
          </w:tcPr>
          <w:p w14:paraId="602633B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0.201*</w:t>
            </w:r>
          </w:p>
        </w:tc>
        <w:tc>
          <w:tcPr>
            <w:tcW w:w="1102" w:type="pct"/>
            <w:noWrap/>
            <w:vAlign w:val="center"/>
          </w:tcPr>
          <w:p w14:paraId="349A69A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776" w:type="pct"/>
            <w:noWrap/>
            <w:vAlign w:val="center"/>
          </w:tcPr>
          <w:p w14:paraId="22D4807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917" w:type="pct"/>
            <w:noWrap/>
            <w:vAlign w:val="center"/>
          </w:tcPr>
          <w:p w14:paraId="4D5129A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r>
      <w:tr w14:paraId="7BFD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02" w:type="pct"/>
            <w:noWrap/>
            <w:vAlign w:val="center"/>
          </w:tcPr>
          <w:p w14:paraId="6EF303E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锤度</w:t>
            </w:r>
          </w:p>
        </w:tc>
        <w:tc>
          <w:tcPr>
            <w:tcW w:w="1102" w:type="pct"/>
            <w:noWrap/>
            <w:vAlign w:val="center"/>
          </w:tcPr>
          <w:p w14:paraId="7BE8A85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0.232*</w:t>
            </w:r>
          </w:p>
        </w:tc>
        <w:tc>
          <w:tcPr>
            <w:tcW w:w="1102" w:type="pct"/>
            <w:noWrap/>
            <w:vAlign w:val="center"/>
          </w:tcPr>
          <w:p w14:paraId="278F67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-0.168</w:t>
            </w:r>
          </w:p>
        </w:tc>
        <w:tc>
          <w:tcPr>
            <w:tcW w:w="776" w:type="pct"/>
            <w:noWrap/>
            <w:vAlign w:val="center"/>
          </w:tcPr>
          <w:p w14:paraId="438EEF7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917" w:type="pct"/>
            <w:noWrap/>
            <w:vAlign w:val="center"/>
          </w:tcPr>
          <w:p w14:paraId="5D8615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r>
      <w:tr w14:paraId="0DB7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02" w:type="pct"/>
            <w:noWrap/>
            <w:vAlign w:val="center"/>
          </w:tcPr>
          <w:p w14:paraId="423E3D8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基部茎径</w:t>
            </w:r>
          </w:p>
        </w:tc>
        <w:tc>
          <w:tcPr>
            <w:tcW w:w="1102" w:type="pct"/>
            <w:noWrap/>
            <w:vAlign w:val="center"/>
          </w:tcPr>
          <w:p w14:paraId="68CA559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0.419**</w:t>
            </w:r>
          </w:p>
        </w:tc>
        <w:tc>
          <w:tcPr>
            <w:tcW w:w="1102" w:type="pct"/>
            <w:noWrap/>
            <w:vAlign w:val="center"/>
          </w:tcPr>
          <w:p w14:paraId="3542E9A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0.432</w:t>
            </w:r>
          </w:p>
        </w:tc>
        <w:tc>
          <w:tcPr>
            <w:tcW w:w="776" w:type="pct"/>
            <w:noWrap/>
            <w:vAlign w:val="center"/>
          </w:tcPr>
          <w:p w14:paraId="630BB84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0.093</w:t>
            </w:r>
          </w:p>
        </w:tc>
        <w:tc>
          <w:tcPr>
            <w:tcW w:w="917" w:type="pct"/>
            <w:noWrap/>
            <w:vAlign w:val="center"/>
          </w:tcPr>
          <w:p w14:paraId="53A8CC7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r>
      <w:tr w14:paraId="5E23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02" w:type="pct"/>
            <w:noWrap/>
            <w:vAlign w:val="center"/>
          </w:tcPr>
          <w:p w14:paraId="5E40054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中部茎径</w:t>
            </w:r>
          </w:p>
        </w:tc>
        <w:tc>
          <w:tcPr>
            <w:tcW w:w="1102" w:type="pct"/>
            <w:noWrap/>
            <w:vAlign w:val="center"/>
          </w:tcPr>
          <w:p w14:paraId="5916D47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0.356**</w:t>
            </w:r>
          </w:p>
        </w:tc>
        <w:tc>
          <w:tcPr>
            <w:tcW w:w="1102" w:type="pct"/>
            <w:noWrap/>
            <w:vAlign w:val="center"/>
          </w:tcPr>
          <w:p w14:paraId="5BE3015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-0.049</w:t>
            </w:r>
          </w:p>
        </w:tc>
        <w:tc>
          <w:tcPr>
            <w:tcW w:w="776" w:type="pct"/>
            <w:noWrap/>
            <w:vAlign w:val="center"/>
          </w:tcPr>
          <w:p w14:paraId="2EB6AA4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0.19</w:t>
            </w:r>
          </w:p>
        </w:tc>
        <w:tc>
          <w:tcPr>
            <w:tcW w:w="917" w:type="pct"/>
            <w:noWrap/>
            <w:vAlign w:val="center"/>
          </w:tcPr>
          <w:p w14:paraId="30AFAA4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0.87</w:t>
            </w:r>
          </w:p>
        </w:tc>
      </w:tr>
      <w:tr w14:paraId="6067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00" w:type="pct"/>
            <w:gridSpan w:val="5"/>
            <w:noWrap/>
            <w:vAlign w:val="center"/>
          </w:tcPr>
          <w:p w14:paraId="7A706B9D">
            <w:pPr>
              <w:rPr>
                <w:rFonts w:hint="eastAsia" w:ascii="仿宋_GB2312" w:hAnsi="仿宋_GB2312" w:eastAsia="仿宋_GB2312" w:cs="仿宋_GB2312"/>
                <w:b w:val="0"/>
                <w:bCs w:val="0"/>
                <w:color w:val="auto"/>
                <w:sz w:val="24"/>
                <w:szCs w:val="24"/>
                <w:highlight w:val="none"/>
              </w:rPr>
            </w:pPr>
            <w:r>
              <w:rPr>
                <w:color w:val="auto"/>
                <w:sz w:val="18"/>
                <w:szCs w:val="18"/>
                <w:highlight w:val="none"/>
              </w:rPr>
              <w:t>注： * 和**分别表示在0.05水平和0.01水平上差异显著。</w:t>
            </w:r>
          </w:p>
        </w:tc>
      </w:tr>
    </w:tbl>
    <w:p w14:paraId="297540DF">
      <w:pPr>
        <w:keepNext w:val="0"/>
        <w:keepLines w:val="0"/>
        <w:pageBreakBefore w:val="0"/>
        <w:kinsoku/>
        <w:overflowPunct/>
        <w:topLinePunct w:val="0"/>
        <w:bidi w:val="0"/>
        <w:snapToGrid/>
        <w:ind w:left="0" w:firstLine="640" w:firstLineChars="200"/>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以抗倒伏指数为对象进行系统聚类分析（分级数据先进行标准化转换，采用χ2距离和离差平方和的方法进行聚类），将30个组合分成了3个大类，其中3级16组合，2级13个组合，1级2个组合（表6）。不同组合的聚类也与等级划分的结果一致（图2）。</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14:paraId="6D795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5B55D4B3">
            <w:pPr>
              <w:keepNext w:val="0"/>
              <w:keepLines w:val="0"/>
              <w:pageBreakBefore w:val="0"/>
              <w:kinsoku/>
              <w:overflowPunct/>
              <w:topLinePunct w:val="0"/>
              <w:autoSpaceDE w:val="0"/>
              <w:autoSpaceDN w:val="0"/>
              <w:bidi w:val="0"/>
              <w:adjustRightInd w:val="0"/>
              <w:snapToGrid/>
              <w:spacing w:line="240" w:lineRule="auto"/>
              <w:ind w:left="0" w:leftChars="0" w:firstLine="0" w:firstLineChars="0"/>
              <w:jc w:val="center"/>
              <w:textAlignment w:val="auto"/>
              <w:rPr>
                <w:rFonts w:hint="eastAsia" w:ascii="仿宋_GB2312" w:hAnsi="仿宋_GB2312" w:eastAsia="仿宋_GB2312" w:cs="仿宋_GB2312"/>
                <w:b/>
                <w:bCs/>
                <w:color w:val="auto"/>
                <w:sz w:val="24"/>
                <w:szCs w:val="28"/>
                <w:highlight w:val="none"/>
                <w:vertAlign w:val="baseline"/>
                <w:lang w:eastAsia="zh-CN"/>
              </w:rPr>
            </w:pPr>
            <w:r>
              <w:rPr>
                <w:color w:val="auto"/>
                <w:kern w:val="0"/>
                <w:sz w:val="24"/>
                <w:highlight w:val="none"/>
                <w:lang w:bidi="ar"/>
              </w:rPr>
              <w:drawing>
                <wp:inline distT="0" distB="0" distL="0" distR="0">
                  <wp:extent cx="2879725" cy="2320925"/>
                  <wp:effectExtent l="0" t="0" r="15875" b="3175"/>
                  <wp:docPr id="7769898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89854" name="图片 1"/>
                          <pic:cNvPicPr>
                            <a:picLocks noChangeAspect="1" noChangeArrowheads="1"/>
                          </pic:cNvPicPr>
                        </pic:nvPicPr>
                        <pic:blipFill>
                          <a:blip r:embed="rId12">
                            <a:extLst>
                              <a:ext uri="{28A0092B-C50C-407E-A947-70E740481C1C}">
                                <a14:useLocalDpi xmlns:a14="http://schemas.microsoft.com/office/drawing/2010/main" val="0"/>
                              </a:ext>
                            </a:extLst>
                          </a:blip>
                          <a:srcRect l="11743" t="8733" r="7106" b="8731"/>
                          <a:stretch>
                            <a:fillRect/>
                          </a:stretch>
                        </pic:blipFill>
                        <pic:spPr>
                          <a:xfrm>
                            <a:off x="0" y="0"/>
                            <a:ext cx="2879725" cy="2320925"/>
                          </a:xfrm>
                          <a:prstGeom prst="rect">
                            <a:avLst/>
                          </a:prstGeom>
                          <a:noFill/>
                          <a:ln>
                            <a:noFill/>
                          </a:ln>
                        </pic:spPr>
                      </pic:pic>
                    </a:graphicData>
                  </a:graphic>
                </wp:inline>
              </w:drawing>
            </w:r>
          </w:p>
        </w:tc>
      </w:tr>
      <w:tr w14:paraId="15047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174" w:type="dxa"/>
            <w:vAlign w:val="center"/>
          </w:tcPr>
          <w:p w14:paraId="66378DA9">
            <w:pPr>
              <w:pStyle w:val="5"/>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cs="仿宋_GB2312"/>
                <w:b/>
                <w:bCs/>
                <w:color w:val="auto"/>
                <w:sz w:val="24"/>
                <w:szCs w:val="28"/>
                <w:highlight w:val="none"/>
                <w:vertAlign w:val="baseline"/>
                <w:lang w:val="en-US" w:eastAsia="zh-CN"/>
              </w:rPr>
            </w:pPr>
            <w:r>
              <w:rPr>
                <w:rFonts w:hint="eastAsia" w:ascii="仿宋_GB2312" w:hAnsi="仿宋_GB2312" w:cs="仿宋_GB2312"/>
                <w:b/>
                <w:bCs/>
                <w:color w:val="auto"/>
                <w:sz w:val="24"/>
                <w:szCs w:val="28"/>
                <w:highlight w:val="none"/>
                <w:vertAlign w:val="baseline"/>
                <w:lang w:val="en-US" w:eastAsia="zh-CN"/>
              </w:rPr>
              <w:t>图2 不同甘蔗组合抗倒性的聚类结果</w:t>
            </w:r>
          </w:p>
        </w:tc>
      </w:tr>
    </w:tbl>
    <w:p w14:paraId="2025FADC">
      <w:pPr>
        <w:pStyle w:val="11"/>
        <w:rPr>
          <w:rFonts w:hint="eastAsia" w:ascii="仿宋_GB2312" w:hAnsi="仿宋_GB2312" w:eastAsia="仿宋_GB2312" w:cs="仿宋_GB2312"/>
          <w:b/>
          <w:bCs/>
          <w:color w:val="auto"/>
          <w:kern w:val="0"/>
          <w:sz w:val="24"/>
          <w:szCs w:val="28"/>
          <w:highlight w:val="none"/>
          <w:vertAlign w:val="baseline"/>
          <w:lang w:val="en-US" w:eastAsia="zh-CN" w:bidi="ar-SA"/>
        </w:rPr>
      </w:pPr>
      <w:r>
        <w:rPr>
          <w:rFonts w:hint="eastAsia" w:ascii="仿宋_GB2312" w:hAnsi="仿宋_GB2312" w:eastAsia="仿宋_GB2312" w:cs="仿宋_GB2312"/>
          <w:b/>
          <w:bCs/>
          <w:color w:val="auto"/>
          <w:kern w:val="0"/>
          <w:sz w:val="24"/>
          <w:szCs w:val="28"/>
          <w:highlight w:val="none"/>
          <w:vertAlign w:val="baseline"/>
          <w:lang w:val="en-US" w:eastAsia="zh-CN" w:bidi="ar-SA"/>
        </w:rPr>
        <w:t>表6 甘蔗不同组合实生苗的倒伏级别</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2475"/>
        <w:gridCol w:w="985"/>
        <w:gridCol w:w="1115"/>
        <w:gridCol w:w="2487"/>
        <w:gridCol w:w="1141"/>
      </w:tblGrid>
      <w:tr w14:paraId="0536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529" w:type="pct"/>
            <w:noWrap/>
            <w:vAlign w:val="center"/>
          </w:tcPr>
          <w:p w14:paraId="6C15994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组合号</w:t>
            </w:r>
          </w:p>
        </w:tc>
        <w:tc>
          <w:tcPr>
            <w:tcW w:w="1348" w:type="pct"/>
            <w:noWrap/>
            <w:vAlign w:val="center"/>
          </w:tcPr>
          <w:p w14:paraId="13A5D39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组合名称</w:t>
            </w:r>
          </w:p>
        </w:tc>
        <w:tc>
          <w:tcPr>
            <w:tcW w:w="536" w:type="pct"/>
            <w:noWrap/>
            <w:vAlign w:val="center"/>
          </w:tcPr>
          <w:p w14:paraId="652C6F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倒伏</w:t>
            </w:r>
          </w:p>
          <w:p w14:paraId="5BB42F6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级别</w:t>
            </w:r>
          </w:p>
        </w:tc>
        <w:tc>
          <w:tcPr>
            <w:tcW w:w="607" w:type="pct"/>
            <w:noWrap/>
            <w:vAlign w:val="center"/>
          </w:tcPr>
          <w:p w14:paraId="2A8CA9C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组合号</w:t>
            </w:r>
          </w:p>
        </w:tc>
        <w:tc>
          <w:tcPr>
            <w:tcW w:w="1355" w:type="pct"/>
            <w:noWrap/>
            <w:vAlign w:val="center"/>
          </w:tcPr>
          <w:p w14:paraId="7159820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组合名称</w:t>
            </w:r>
          </w:p>
        </w:tc>
        <w:tc>
          <w:tcPr>
            <w:tcW w:w="621" w:type="pct"/>
            <w:noWrap/>
            <w:vAlign w:val="center"/>
          </w:tcPr>
          <w:p w14:paraId="7A538EB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倒伏</w:t>
            </w:r>
          </w:p>
          <w:p w14:paraId="11DDCE0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级别</w:t>
            </w:r>
          </w:p>
        </w:tc>
      </w:tr>
      <w:tr w14:paraId="1F534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05F9BDF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977</w:t>
            </w:r>
          </w:p>
        </w:tc>
        <w:tc>
          <w:tcPr>
            <w:tcW w:w="1348" w:type="pct"/>
            <w:vAlign w:val="center"/>
          </w:tcPr>
          <w:p w14:paraId="58FA1EA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YT94-128×GT09-1163</w:t>
            </w:r>
          </w:p>
        </w:tc>
        <w:tc>
          <w:tcPr>
            <w:tcW w:w="536" w:type="pct"/>
            <w:noWrap/>
            <w:vAlign w:val="center"/>
          </w:tcPr>
          <w:p w14:paraId="0E779A2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1D62AD8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ROC22</w:t>
            </w:r>
          </w:p>
        </w:tc>
        <w:tc>
          <w:tcPr>
            <w:tcW w:w="1355" w:type="pct"/>
            <w:vAlign w:val="center"/>
          </w:tcPr>
          <w:p w14:paraId="6DA8E81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ROC5×69-463</w:t>
            </w:r>
          </w:p>
        </w:tc>
        <w:tc>
          <w:tcPr>
            <w:tcW w:w="621" w:type="pct"/>
            <w:noWrap/>
            <w:vAlign w:val="center"/>
          </w:tcPr>
          <w:p w14:paraId="03DBB8F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680D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59F065E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Y65</w:t>
            </w:r>
          </w:p>
        </w:tc>
        <w:tc>
          <w:tcPr>
            <w:tcW w:w="1348" w:type="pct"/>
            <w:vAlign w:val="center"/>
          </w:tcPr>
          <w:p w14:paraId="7682E92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YT93-159×YC07-71</w:t>
            </w:r>
          </w:p>
        </w:tc>
        <w:tc>
          <w:tcPr>
            <w:tcW w:w="536" w:type="pct"/>
            <w:noWrap/>
            <w:vAlign w:val="center"/>
          </w:tcPr>
          <w:p w14:paraId="1738200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5F31FE9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Y57</w:t>
            </w:r>
          </w:p>
        </w:tc>
        <w:tc>
          <w:tcPr>
            <w:tcW w:w="1355" w:type="pct"/>
            <w:vAlign w:val="center"/>
          </w:tcPr>
          <w:p w14:paraId="1BFFDFD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YT91-976×ROC23</w:t>
            </w:r>
          </w:p>
        </w:tc>
        <w:tc>
          <w:tcPr>
            <w:tcW w:w="621" w:type="pct"/>
            <w:noWrap/>
            <w:vAlign w:val="center"/>
          </w:tcPr>
          <w:p w14:paraId="423AE27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6DAD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79D9DE9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593</w:t>
            </w:r>
          </w:p>
        </w:tc>
        <w:tc>
          <w:tcPr>
            <w:tcW w:w="1348" w:type="pct"/>
            <w:vAlign w:val="center"/>
          </w:tcPr>
          <w:p w14:paraId="363C8BA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GT06-3283×YZ06-80</w:t>
            </w:r>
          </w:p>
        </w:tc>
        <w:tc>
          <w:tcPr>
            <w:tcW w:w="536" w:type="pct"/>
            <w:noWrap/>
            <w:vAlign w:val="center"/>
          </w:tcPr>
          <w:p w14:paraId="4BC6BFB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22B5A9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229</w:t>
            </w:r>
          </w:p>
        </w:tc>
        <w:tc>
          <w:tcPr>
            <w:tcW w:w="1355" w:type="pct"/>
            <w:vAlign w:val="center"/>
          </w:tcPr>
          <w:p w14:paraId="2E419F8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GT04-112×YC90-33</w:t>
            </w:r>
          </w:p>
        </w:tc>
        <w:tc>
          <w:tcPr>
            <w:tcW w:w="621" w:type="pct"/>
            <w:noWrap/>
            <w:vAlign w:val="center"/>
          </w:tcPr>
          <w:p w14:paraId="2692ED7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52C2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3F696C3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Y70</w:t>
            </w:r>
          </w:p>
        </w:tc>
        <w:tc>
          <w:tcPr>
            <w:tcW w:w="1348" w:type="pct"/>
            <w:vAlign w:val="center"/>
          </w:tcPr>
          <w:p w14:paraId="4A69C2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YT94-128×ROC22</w:t>
            </w:r>
          </w:p>
        </w:tc>
        <w:tc>
          <w:tcPr>
            <w:tcW w:w="536" w:type="pct"/>
            <w:noWrap/>
            <w:vAlign w:val="center"/>
          </w:tcPr>
          <w:p w14:paraId="5654321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7711ED5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1124</w:t>
            </w:r>
          </w:p>
        </w:tc>
        <w:tc>
          <w:tcPr>
            <w:tcW w:w="1355" w:type="pct"/>
            <w:vAlign w:val="center"/>
          </w:tcPr>
          <w:p w14:paraId="05CC59F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GT02-761×YF90-95</w:t>
            </w:r>
          </w:p>
        </w:tc>
        <w:tc>
          <w:tcPr>
            <w:tcW w:w="621" w:type="pct"/>
            <w:noWrap/>
            <w:vAlign w:val="center"/>
          </w:tcPr>
          <w:p w14:paraId="0BA4F7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08D6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0BF4BBB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399</w:t>
            </w:r>
          </w:p>
        </w:tc>
        <w:tc>
          <w:tcPr>
            <w:tcW w:w="1348" w:type="pct"/>
            <w:vAlign w:val="center"/>
          </w:tcPr>
          <w:p w14:paraId="46D2DE2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Co1001×GT10-2018</w:t>
            </w:r>
          </w:p>
        </w:tc>
        <w:tc>
          <w:tcPr>
            <w:tcW w:w="536" w:type="pct"/>
            <w:noWrap/>
            <w:vAlign w:val="center"/>
          </w:tcPr>
          <w:p w14:paraId="22A0991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061DDFE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381</w:t>
            </w:r>
          </w:p>
        </w:tc>
        <w:tc>
          <w:tcPr>
            <w:tcW w:w="1355" w:type="pct"/>
            <w:vAlign w:val="center"/>
          </w:tcPr>
          <w:p w14:paraId="43242F0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GT05-wm48×GT07-229</w:t>
            </w:r>
          </w:p>
        </w:tc>
        <w:tc>
          <w:tcPr>
            <w:tcW w:w="621" w:type="pct"/>
            <w:noWrap/>
            <w:vAlign w:val="center"/>
          </w:tcPr>
          <w:p w14:paraId="5E2D3EF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14EE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529" w:type="pct"/>
            <w:noWrap/>
            <w:vAlign w:val="center"/>
          </w:tcPr>
          <w:p w14:paraId="22E5F93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981</w:t>
            </w:r>
          </w:p>
        </w:tc>
        <w:tc>
          <w:tcPr>
            <w:tcW w:w="1348" w:type="pct"/>
            <w:vAlign w:val="center"/>
          </w:tcPr>
          <w:p w14:paraId="6B97B6E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SWS09-001×CP92-1641</w:t>
            </w:r>
          </w:p>
        </w:tc>
        <w:tc>
          <w:tcPr>
            <w:tcW w:w="536" w:type="pct"/>
            <w:noWrap/>
            <w:vAlign w:val="center"/>
          </w:tcPr>
          <w:p w14:paraId="364FE38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31D798D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670</w:t>
            </w:r>
          </w:p>
        </w:tc>
        <w:tc>
          <w:tcPr>
            <w:tcW w:w="1355" w:type="pct"/>
            <w:vAlign w:val="center"/>
          </w:tcPr>
          <w:p w14:paraId="370E524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CP00-1630×GT06-1184</w:t>
            </w:r>
          </w:p>
        </w:tc>
        <w:tc>
          <w:tcPr>
            <w:tcW w:w="621" w:type="pct"/>
            <w:noWrap/>
            <w:vAlign w:val="center"/>
          </w:tcPr>
          <w:p w14:paraId="3B78660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38C0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117D4F3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564</w:t>
            </w:r>
          </w:p>
        </w:tc>
        <w:tc>
          <w:tcPr>
            <w:tcW w:w="1348" w:type="pct"/>
            <w:vAlign w:val="center"/>
          </w:tcPr>
          <w:p w14:paraId="0F5398B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GT02-761×YC07-71</w:t>
            </w:r>
          </w:p>
        </w:tc>
        <w:tc>
          <w:tcPr>
            <w:tcW w:w="536" w:type="pct"/>
            <w:noWrap/>
            <w:vAlign w:val="center"/>
          </w:tcPr>
          <w:p w14:paraId="15175C4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3C3B226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975</w:t>
            </w:r>
          </w:p>
        </w:tc>
        <w:tc>
          <w:tcPr>
            <w:tcW w:w="1355" w:type="pct"/>
            <w:vAlign w:val="center"/>
          </w:tcPr>
          <w:p w14:paraId="43A3756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GT05-ym3×LC03-1137</w:t>
            </w:r>
          </w:p>
        </w:tc>
        <w:tc>
          <w:tcPr>
            <w:tcW w:w="621" w:type="pct"/>
            <w:noWrap/>
            <w:vAlign w:val="center"/>
          </w:tcPr>
          <w:p w14:paraId="70DBBBC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46EA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44E13FD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989</w:t>
            </w:r>
          </w:p>
        </w:tc>
        <w:tc>
          <w:tcPr>
            <w:tcW w:w="1348" w:type="pct"/>
            <w:vAlign w:val="center"/>
          </w:tcPr>
          <w:p w14:paraId="105C27A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C1-2003×YZ95-128</w:t>
            </w:r>
          </w:p>
        </w:tc>
        <w:tc>
          <w:tcPr>
            <w:tcW w:w="536" w:type="pct"/>
            <w:noWrap/>
            <w:vAlign w:val="center"/>
          </w:tcPr>
          <w:p w14:paraId="3A69084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6A6E8B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142</w:t>
            </w:r>
          </w:p>
        </w:tc>
        <w:tc>
          <w:tcPr>
            <w:tcW w:w="1355" w:type="pct"/>
            <w:vAlign w:val="center"/>
          </w:tcPr>
          <w:p w14:paraId="2DE5624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CP07-1618×YG22</w:t>
            </w:r>
          </w:p>
        </w:tc>
        <w:tc>
          <w:tcPr>
            <w:tcW w:w="621" w:type="pct"/>
            <w:noWrap/>
            <w:vAlign w:val="center"/>
          </w:tcPr>
          <w:p w14:paraId="53F7079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46FB5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2037CC1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283</w:t>
            </w:r>
          </w:p>
        </w:tc>
        <w:tc>
          <w:tcPr>
            <w:tcW w:w="1348" w:type="pct"/>
            <w:vAlign w:val="center"/>
          </w:tcPr>
          <w:p w14:paraId="179CB18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GT06-3283×LT07-95</w:t>
            </w:r>
          </w:p>
        </w:tc>
        <w:tc>
          <w:tcPr>
            <w:tcW w:w="536" w:type="pct"/>
            <w:noWrap/>
            <w:vAlign w:val="center"/>
          </w:tcPr>
          <w:p w14:paraId="7153132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1B11D4B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643</w:t>
            </w:r>
          </w:p>
        </w:tc>
        <w:tc>
          <w:tcPr>
            <w:tcW w:w="1355" w:type="pct"/>
            <w:vAlign w:val="center"/>
          </w:tcPr>
          <w:p w14:paraId="1619864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GT02-901×GT06-178</w:t>
            </w:r>
          </w:p>
        </w:tc>
        <w:tc>
          <w:tcPr>
            <w:tcW w:w="621" w:type="pct"/>
            <w:noWrap/>
            <w:vAlign w:val="center"/>
          </w:tcPr>
          <w:p w14:paraId="6C424FC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53217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34832CD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Y12</w:t>
            </w:r>
          </w:p>
        </w:tc>
        <w:tc>
          <w:tcPr>
            <w:tcW w:w="1348" w:type="pct"/>
            <w:vAlign w:val="center"/>
          </w:tcPr>
          <w:p w14:paraId="275C0C3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ROC28×YT00-236</w:t>
            </w:r>
          </w:p>
        </w:tc>
        <w:tc>
          <w:tcPr>
            <w:tcW w:w="536" w:type="pct"/>
            <w:noWrap/>
            <w:vAlign w:val="center"/>
          </w:tcPr>
          <w:p w14:paraId="114DB19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6CA1A66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371</w:t>
            </w:r>
          </w:p>
        </w:tc>
        <w:tc>
          <w:tcPr>
            <w:tcW w:w="1355" w:type="pct"/>
            <w:vAlign w:val="center"/>
          </w:tcPr>
          <w:p w14:paraId="10795C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CP07-1618×LC03-1137</w:t>
            </w:r>
          </w:p>
        </w:tc>
        <w:tc>
          <w:tcPr>
            <w:tcW w:w="621" w:type="pct"/>
            <w:noWrap/>
            <w:vAlign w:val="center"/>
          </w:tcPr>
          <w:p w14:paraId="1AE4B5D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20E0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45482B3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Y44</w:t>
            </w:r>
          </w:p>
        </w:tc>
        <w:tc>
          <w:tcPr>
            <w:tcW w:w="1348" w:type="pct"/>
            <w:vAlign w:val="center"/>
          </w:tcPr>
          <w:p w14:paraId="7CAEC73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YT00-318×YT93-159</w:t>
            </w:r>
          </w:p>
        </w:tc>
        <w:tc>
          <w:tcPr>
            <w:tcW w:w="536" w:type="pct"/>
            <w:noWrap/>
            <w:vAlign w:val="center"/>
          </w:tcPr>
          <w:p w14:paraId="581DEBA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0EE5B7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289</w:t>
            </w:r>
          </w:p>
        </w:tc>
        <w:tc>
          <w:tcPr>
            <w:tcW w:w="1355" w:type="pct"/>
            <w:vAlign w:val="center"/>
          </w:tcPr>
          <w:p w14:paraId="1DCC59F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NongL8×GT09-1009</w:t>
            </w:r>
          </w:p>
        </w:tc>
        <w:tc>
          <w:tcPr>
            <w:tcW w:w="621" w:type="pct"/>
            <w:noWrap/>
            <w:vAlign w:val="center"/>
          </w:tcPr>
          <w:p w14:paraId="43A4B5D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0183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71E8BB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Y50</w:t>
            </w:r>
          </w:p>
        </w:tc>
        <w:tc>
          <w:tcPr>
            <w:tcW w:w="1348" w:type="pct"/>
            <w:vAlign w:val="center"/>
          </w:tcPr>
          <w:p w14:paraId="087F2BB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YT01-71×DZ93-88</w:t>
            </w:r>
          </w:p>
        </w:tc>
        <w:tc>
          <w:tcPr>
            <w:tcW w:w="536" w:type="pct"/>
            <w:noWrap/>
            <w:vAlign w:val="center"/>
          </w:tcPr>
          <w:p w14:paraId="11BC446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7E97E24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370</w:t>
            </w:r>
          </w:p>
        </w:tc>
        <w:tc>
          <w:tcPr>
            <w:tcW w:w="1355" w:type="pct"/>
            <w:vAlign w:val="center"/>
          </w:tcPr>
          <w:p w14:paraId="23CFA71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CP07-1618×FN39</w:t>
            </w:r>
          </w:p>
        </w:tc>
        <w:tc>
          <w:tcPr>
            <w:tcW w:w="621" w:type="pct"/>
            <w:noWrap/>
            <w:vAlign w:val="center"/>
          </w:tcPr>
          <w:p w14:paraId="704AD2B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2级</w:t>
            </w:r>
          </w:p>
        </w:tc>
      </w:tr>
      <w:tr w14:paraId="4436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259D80C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506</w:t>
            </w:r>
          </w:p>
        </w:tc>
        <w:tc>
          <w:tcPr>
            <w:tcW w:w="1348" w:type="pct"/>
            <w:vAlign w:val="center"/>
          </w:tcPr>
          <w:p w14:paraId="266211A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GT06-1264×YT96-833</w:t>
            </w:r>
          </w:p>
        </w:tc>
        <w:tc>
          <w:tcPr>
            <w:tcW w:w="536" w:type="pct"/>
            <w:noWrap/>
            <w:vAlign w:val="center"/>
          </w:tcPr>
          <w:p w14:paraId="1B4D3F2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7D7D864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430</w:t>
            </w:r>
          </w:p>
        </w:tc>
        <w:tc>
          <w:tcPr>
            <w:tcW w:w="1355" w:type="pct"/>
            <w:vAlign w:val="center"/>
          </w:tcPr>
          <w:p w14:paraId="53968EE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YZ99-596×GT10-2018</w:t>
            </w:r>
          </w:p>
        </w:tc>
        <w:tc>
          <w:tcPr>
            <w:tcW w:w="621" w:type="pct"/>
            <w:noWrap/>
            <w:vAlign w:val="center"/>
          </w:tcPr>
          <w:p w14:paraId="51F5227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1级</w:t>
            </w:r>
          </w:p>
        </w:tc>
      </w:tr>
      <w:tr w14:paraId="475D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0C0CBE0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1252</w:t>
            </w:r>
          </w:p>
        </w:tc>
        <w:tc>
          <w:tcPr>
            <w:tcW w:w="1348" w:type="pct"/>
            <w:vAlign w:val="center"/>
          </w:tcPr>
          <w:p w14:paraId="5FE2885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GT05-3661×CP09-4256</w:t>
            </w:r>
          </w:p>
        </w:tc>
        <w:tc>
          <w:tcPr>
            <w:tcW w:w="536" w:type="pct"/>
            <w:noWrap/>
            <w:vAlign w:val="center"/>
          </w:tcPr>
          <w:p w14:paraId="1095C9E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5D704BC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875</w:t>
            </w:r>
          </w:p>
        </w:tc>
        <w:tc>
          <w:tcPr>
            <w:tcW w:w="1355" w:type="pct"/>
            <w:vAlign w:val="center"/>
          </w:tcPr>
          <w:p w14:paraId="38182A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FR93-865×PR83-1248</w:t>
            </w:r>
          </w:p>
        </w:tc>
        <w:tc>
          <w:tcPr>
            <w:tcW w:w="621" w:type="pct"/>
            <w:noWrap/>
            <w:vAlign w:val="center"/>
          </w:tcPr>
          <w:p w14:paraId="122F9B1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1级</w:t>
            </w:r>
          </w:p>
        </w:tc>
      </w:tr>
      <w:tr w14:paraId="61CC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29" w:type="pct"/>
            <w:noWrap/>
            <w:vAlign w:val="center"/>
          </w:tcPr>
          <w:p w14:paraId="76BFAF9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Y86</w:t>
            </w:r>
          </w:p>
        </w:tc>
        <w:tc>
          <w:tcPr>
            <w:tcW w:w="1348" w:type="pct"/>
            <w:vAlign w:val="center"/>
          </w:tcPr>
          <w:p w14:paraId="32C10B1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ZZ33×GT92-66</w:t>
            </w:r>
          </w:p>
        </w:tc>
        <w:tc>
          <w:tcPr>
            <w:tcW w:w="536" w:type="pct"/>
            <w:noWrap/>
            <w:vAlign w:val="center"/>
          </w:tcPr>
          <w:p w14:paraId="32D3C20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00C781B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1355" w:type="pct"/>
            <w:vAlign w:val="center"/>
          </w:tcPr>
          <w:p w14:paraId="00C887B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621" w:type="pct"/>
            <w:noWrap/>
            <w:vAlign w:val="center"/>
          </w:tcPr>
          <w:p w14:paraId="280BA52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r>
      <w:tr w14:paraId="34D1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6F70F1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1245</w:t>
            </w:r>
          </w:p>
        </w:tc>
        <w:tc>
          <w:tcPr>
            <w:tcW w:w="1348" w:type="pct"/>
            <w:vAlign w:val="center"/>
          </w:tcPr>
          <w:p w14:paraId="5ADC7B0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GT01-25×CP09-4707</w:t>
            </w:r>
          </w:p>
        </w:tc>
        <w:tc>
          <w:tcPr>
            <w:tcW w:w="536" w:type="pct"/>
            <w:noWrap/>
            <w:vAlign w:val="center"/>
          </w:tcPr>
          <w:p w14:paraId="5769A15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0A5ED3C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1355" w:type="pct"/>
            <w:noWrap/>
            <w:vAlign w:val="center"/>
          </w:tcPr>
          <w:p w14:paraId="72F059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621" w:type="pct"/>
            <w:noWrap/>
            <w:vAlign w:val="center"/>
          </w:tcPr>
          <w:p w14:paraId="09B30B9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r>
      <w:tr w14:paraId="7C82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9" w:type="pct"/>
            <w:noWrap/>
            <w:vAlign w:val="center"/>
          </w:tcPr>
          <w:p w14:paraId="55F4D22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327</w:t>
            </w:r>
          </w:p>
        </w:tc>
        <w:tc>
          <w:tcPr>
            <w:tcW w:w="1348" w:type="pct"/>
            <w:vAlign w:val="center"/>
          </w:tcPr>
          <w:p w14:paraId="2C2F672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GT04-1023×FN39</w:t>
            </w:r>
          </w:p>
        </w:tc>
        <w:tc>
          <w:tcPr>
            <w:tcW w:w="536" w:type="pct"/>
            <w:noWrap/>
            <w:vAlign w:val="center"/>
          </w:tcPr>
          <w:p w14:paraId="3195317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3级</w:t>
            </w:r>
          </w:p>
        </w:tc>
        <w:tc>
          <w:tcPr>
            <w:tcW w:w="607" w:type="pct"/>
            <w:noWrap/>
            <w:vAlign w:val="center"/>
          </w:tcPr>
          <w:p w14:paraId="4397641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1355" w:type="pct"/>
            <w:noWrap/>
            <w:vAlign w:val="center"/>
          </w:tcPr>
          <w:p w14:paraId="21E7B99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c>
          <w:tcPr>
            <w:tcW w:w="621" w:type="pct"/>
            <w:noWrap/>
            <w:vAlign w:val="center"/>
          </w:tcPr>
          <w:p w14:paraId="51C7E3F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val="0"/>
                <w:bCs w:val="0"/>
                <w:color w:val="auto"/>
                <w:sz w:val="24"/>
                <w:szCs w:val="24"/>
                <w:highlight w:val="none"/>
              </w:rPr>
            </w:pPr>
          </w:p>
        </w:tc>
      </w:tr>
    </w:tbl>
    <w:p w14:paraId="412D30FF">
      <w:pPr>
        <w:keepNext w:val="0"/>
        <w:keepLines w:val="0"/>
        <w:pageBreakBefore w:val="0"/>
        <w:kinsoku/>
        <w:overflowPunct/>
        <w:topLinePunct w:val="0"/>
        <w:autoSpaceDE w:val="0"/>
        <w:autoSpaceDN w:val="0"/>
        <w:bidi w:val="0"/>
        <w:adjustRightInd w:val="0"/>
        <w:snapToGrid/>
        <w:spacing w:line="560" w:lineRule="exact"/>
        <w:ind w:left="0" w:firstLine="643" w:firstLineChars="200"/>
        <w:jc w:val="left"/>
        <w:textAlignment w:val="auto"/>
        <w:rPr>
          <w:rFonts w:hint="eastAsia" w:ascii="仿宋_GB2312" w:hAnsi="仿宋_GB2312" w:eastAsia="仿宋_GB2312" w:cs="仿宋_GB2312"/>
          <w:b/>
          <w:bCs/>
          <w:color w:val="auto"/>
          <w:sz w:val="32"/>
          <w:szCs w:val="32"/>
          <w:highlight w:val="none"/>
        </w:rPr>
      </w:pPr>
      <w:bookmarkStart w:id="6" w:name="_Toc526940086"/>
      <w:r>
        <w:rPr>
          <w:rFonts w:hint="eastAsia" w:ascii="仿宋_GB2312" w:hAnsi="仿宋_GB2312" w:eastAsia="仿宋_GB2312" w:cs="仿宋_GB2312"/>
          <w:b/>
          <w:bCs/>
          <w:color w:val="auto"/>
          <w:sz w:val="32"/>
          <w:szCs w:val="32"/>
          <w:highlight w:val="none"/>
        </w:rPr>
        <w:t>六、</w:t>
      </w:r>
      <w:bookmarkEnd w:id="6"/>
      <w:r>
        <w:rPr>
          <w:rFonts w:hint="eastAsia" w:ascii="仿宋_GB2312" w:hAnsi="仿宋_GB2312" w:eastAsia="仿宋_GB2312" w:cs="仿宋_GB2312"/>
          <w:b/>
          <w:bCs/>
          <w:color w:val="auto"/>
          <w:sz w:val="32"/>
          <w:szCs w:val="32"/>
          <w:highlight w:val="none"/>
        </w:rPr>
        <w:t>重大分歧意见的处理经过和依据</w:t>
      </w:r>
    </w:p>
    <w:p w14:paraId="7DBD7D8D">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本标准研制过程中无重大分歧意见。</w:t>
      </w:r>
    </w:p>
    <w:p w14:paraId="69867F09">
      <w:pPr>
        <w:keepNext w:val="0"/>
        <w:keepLines w:val="0"/>
        <w:pageBreakBefore w:val="0"/>
        <w:kinsoku/>
        <w:overflowPunct/>
        <w:topLinePunct w:val="0"/>
        <w:autoSpaceDE w:val="0"/>
        <w:autoSpaceDN w:val="0"/>
        <w:bidi w:val="0"/>
        <w:adjustRightInd w:val="0"/>
        <w:snapToGrid/>
        <w:spacing w:line="560" w:lineRule="exact"/>
        <w:ind w:left="0"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七、实施标准的措施</w:t>
      </w:r>
    </w:p>
    <w:p w14:paraId="67C45D00">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（一）标准报批发布后，成立标准宣贯工作组</w:t>
      </w:r>
    </w:p>
    <w:p w14:paraId="7330B5F1">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（二）组织开展标准宣贯培训</w:t>
      </w:r>
    </w:p>
    <w:p w14:paraId="38C99CE1">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（三）开展标准实施交流会，收集标准实施反馈信息</w:t>
      </w:r>
    </w:p>
    <w:p w14:paraId="336AB236">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keepNext w:val="0"/>
        <w:keepLines w:val="0"/>
        <w:pageBreakBefore w:val="0"/>
        <w:kinsoku/>
        <w:overflowPunct/>
        <w:topLinePunct w:val="0"/>
        <w:bidi w:val="0"/>
        <w:snapToGrid/>
        <w:spacing w:line="560" w:lineRule="exact"/>
        <w:ind w:left="0" w:firstLine="643" w:firstLineChars="200"/>
        <w:textAlignment w:val="auto"/>
        <w:rPr>
          <w:rFonts w:hint="eastAsia"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（四）开展标准实施效果评估</w:t>
      </w:r>
    </w:p>
    <w:p w14:paraId="7DE0DDFE">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keepNext w:val="0"/>
        <w:keepLines w:val="0"/>
        <w:pageBreakBefore w:val="0"/>
        <w:kinsoku/>
        <w:overflowPunct/>
        <w:topLinePunct w:val="0"/>
        <w:autoSpaceDE w:val="0"/>
        <w:autoSpaceDN w:val="0"/>
        <w:bidi w:val="0"/>
        <w:adjustRightInd w:val="0"/>
        <w:snapToGrid/>
        <w:spacing w:line="560" w:lineRule="exact"/>
        <w:ind w:left="0" w:firstLine="643" w:firstLineChars="200"/>
        <w:jc w:val="left"/>
        <w:textAlignment w:val="auto"/>
        <w:rPr>
          <w:rFonts w:hint="eastAsia" w:ascii="仿宋_GB2312" w:hAnsi="仿宋_GB2312" w:eastAsia="仿宋_GB2312" w:cs="仿宋_GB2312"/>
          <w:b/>
          <w:bCs/>
          <w:color w:val="auto"/>
          <w:sz w:val="32"/>
          <w:szCs w:val="32"/>
          <w:highlight w:val="none"/>
        </w:rPr>
      </w:pPr>
      <w:bookmarkStart w:id="7" w:name="_GoBack"/>
      <w:r>
        <w:rPr>
          <w:rFonts w:hint="eastAsia" w:ascii="仿宋_GB2312" w:hAnsi="仿宋_GB2312" w:eastAsia="仿宋_GB2312" w:cs="仿宋_GB2312"/>
          <w:b/>
          <w:bCs/>
          <w:color w:val="auto"/>
          <w:sz w:val="32"/>
          <w:szCs w:val="32"/>
          <w:highlight w:val="none"/>
        </w:rPr>
        <w:t>八、其他应当说明的事项</w:t>
      </w:r>
    </w:p>
    <w:bookmarkEnd w:id="7"/>
    <w:p w14:paraId="23A53EB2">
      <w:pPr>
        <w:keepNext w:val="0"/>
        <w:keepLines w:val="0"/>
        <w:pageBreakBefore w:val="0"/>
        <w:kinsoku/>
        <w:overflowPunct/>
        <w:topLinePunct w:val="0"/>
        <w:bidi w:val="0"/>
        <w:snapToGrid/>
        <w:spacing w:line="560" w:lineRule="exact"/>
        <w:ind w:left="0" w:firstLine="640" w:firstLineChars="200"/>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无。</w:t>
      </w:r>
    </w:p>
    <w:p w14:paraId="1562F1AF">
      <w:pPr>
        <w:keepNext w:val="0"/>
        <w:keepLines w:val="0"/>
        <w:pageBreakBefore w:val="0"/>
        <w:kinsoku/>
        <w:overflowPunct/>
        <w:topLinePunct w:val="0"/>
        <w:bidi w:val="0"/>
        <w:snapToGrid/>
        <w:spacing w:line="560" w:lineRule="exact"/>
        <w:ind w:left="0"/>
        <w:textAlignment w:val="auto"/>
        <w:rPr>
          <w:rFonts w:hint="eastAsia" w:ascii="仿宋_GB2312" w:hAnsi="仿宋_GB2312" w:eastAsia="仿宋_GB2312" w:cs="仿宋_GB2312"/>
          <w:bCs/>
          <w:color w:val="auto"/>
          <w:sz w:val="36"/>
          <w:szCs w:val="32"/>
          <w:highlight w:val="none"/>
        </w:rPr>
      </w:pPr>
    </w:p>
    <w:p w14:paraId="0FDE70D6">
      <w:pPr>
        <w:keepNext w:val="0"/>
        <w:keepLines w:val="0"/>
        <w:pageBreakBefore w:val="0"/>
        <w:kinsoku/>
        <w:overflowPunct/>
        <w:topLinePunct w:val="0"/>
        <w:bidi w:val="0"/>
        <w:snapToGrid/>
        <w:spacing w:line="560" w:lineRule="exact"/>
        <w:ind w:left="0"/>
        <w:textAlignment w:val="auto"/>
        <w:rPr>
          <w:rFonts w:hint="eastAsia" w:ascii="仿宋_GB2312" w:hAnsi="仿宋_GB2312" w:eastAsia="仿宋_GB2312" w:cs="仿宋_GB2312"/>
          <w:bCs/>
          <w:color w:val="auto"/>
          <w:sz w:val="36"/>
          <w:szCs w:val="32"/>
          <w:highlight w:val="none"/>
        </w:rPr>
      </w:pPr>
    </w:p>
    <w:p w14:paraId="639B864D">
      <w:pPr>
        <w:keepNext w:val="0"/>
        <w:keepLines w:val="0"/>
        <w:pageBreakBefore w:val="0"/>
        <w:kinsoku/>
        <w:wordWrap w:val="0"/>
        <w:overflowPunct/>
        <w:topLinePunct w:val="0"/>
        <w:bidi w:val="0"/>
        <w:snapToGrid/>
        <w:spacing w:line="560" w:lineRule="exact"/>
        <w:ind w:left="0"/>
        <w:jc w:val="right"/>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 xml:space="preserve"> 团体标准《甘蔗抗倒伏评价技术规程》（征求意见稿》</w:t>
      </w:r>
    </w:p>
    <w:p w14:paraId="607C1987">
      <w:pPr>
        <w:keepNext w:val="0"/>
        <w:keepLines w:val="0"/>
        <w:pageBreakBefore w:val="0"/>
        <w:kinsoku/>
        <w:wordWrap w:val="0"/>
        <w:overflowPunct/>
        <w:topLinePunct w:val="0"/>
        <w:bidi w:val="0"/>
        <w:snapToGrid/>
        <w:spacing w:line="560" w:lineRule="exact"/>
        <w:ind w:left="0"/>
        <w:jc w:val="right"/>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 xml:space="preserve">标准编制工作组         </w:t>
      </w:r>
    </w:p>
    <w:p w14:paraId="539467F6">
      <w:pPr>
        <w:keepNext w:val="0"/>
        <w:keepLines w:val="0"/>
        <w:pageBreakBefore w:val="0"/>
        <w:kinsoku/>
        <w:wordWrap w:val="0"/>
        <w:overflowPunct/>
        <w:topLinePunct w:val="0"/>
        <w:bidi w:val="0"/>
        <w:snapToGrid/>
        <w:spacing w:line="560" w:lineRule="exact"/>
        <w:ind w:left="0"/>
        <w:jc w:val="right"/>
        <w:textAlignment w:val="auto"/>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rPr>
        <w:t>202</w:t>
      </w:r>
      <w:r>
        <w:rPr>
          <w:rFonts w:hint="eastAsia" w:ascii="仿宋_GB2312" w:hAnsi="仿宋_GB2312" w:eastAsia="仿宋_GB2312" w:cs="仿宋_GB2312"/>
          <w:color w:val="auto"/>
          <w:sz w:val="32"/>
          <w:szCs w:val="28"/>
          <w:highlight w:val="none"/>
          <w:lang w:val="en-US" w:eastAsia="zh-CN"/>
        </w:rPr>
        <w:t>5</w:t>
      </w:r>
      <w:r>
        <w:rPr>
          <w:rFonts w:hint="eastAsia" w:ascii="仿宋_GB2312" w:hAnsi="仿宋_GB2312" w:eastAsia="仿宋_GB2312" w:cs="仿宋_GB2312"/>
          <w:color w:val="auto"/>
          <w:sz w:val="32"/>
          <w:szCs w:val="28"/>
          <w:highlight w:val="none"/>
        </w:rPr>
        <w:t>年</w:t>
      </w:r>
      <w:r>
        <w:rPr>
          <w:rFonts w:hint="eastAsia" w:ascii="仿宋_GB2312" w:hAnsi="仿宋_GB2312" w:cs="仿宋_GB2312"/>
          <w:color w:val="auto"/>
          <w:sz w:val="32"/>
          <w:szCs w:val="28"/>
          <w:highlight w:val="none"/>
          <w:lang w:val="en-US" w:eastAsia="zh-CN"/>
        </w:rPr>
        <w:t>12</w:t>
      </w:r>
      <w:r>
        <w:rPr>
          <w:rFonts w:hint="eastAsia" w:ascii="仿宋_GB2312" w:hAnsi="仿宋_GB2312" w:eastAsia="仿宋_GB2312" w:cs="仿宋_GB2312"/>
          <w:color w:val="auto"/>
          <w:sz w:val="32"/>
          <w:szCs w:val="28"/>
          <w:highlight w:val="none"/>
        </w:rPr>
        <w:t xml:space="preserve">月20日        </w:t>
      </w:r>
    </w:p>
    <w:sectPr>
      <w:footerReference r:id="rId5" w:type="default"/>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3"/>
          <w:jc w:val="center"/>
        </w:pPr>
        <w:r>
          <w:fldChar w:fldCharType="begin"/>
        </w:r>
        <w:r>
          <w:instrText xml:space="preserve">PAGE   \* MERGEFORMAT</w:instrText>
        </w:r>
        <w:r>
          <w:fldChar w:fldCharType="separate"/>
        </w:r>
        <w:r>
          <w:rPr>
            <w:lang w:val="zh-CN"/>
          </w:rPr>
          <w:t>7</w:t>
        </w:r>
        <w:r>
          <w:fldChar w:fldCharType="end"/>
        </w:r>
      </w:p>
    </w:sdtContent>
  </w:sdt>
  <w:p w14:paraId="76F9E80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4"/>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557C2AF5"/>
    <w:multiLevelType w:val="multilevel"/>
    <w:tmpl w:val="557C2AF5"/>
    <w:lvl w:ilvl="0" w:tentative="0">
      <w:start w:val="1"/>
      <w:numFmt w:val="decimal"/>
      <w:pStyle w:val="1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1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6413"/>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313A"/>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934780"/>
    <w:rsid w:val="01CE5D1C"/>
    <w:rsid w:val="01F64D0F"/>
    <w:rsid w:val="023D7071"/>
    <w:rsid w:val="027A76EE"/>
    <w:rsid w:val="03753918"/>
    <w:rsid w:val="039E595D"/>
    <w:rsid w:val="05015EA4"/>
    <w:rsid w:val="06C90C44"/>
    <w:rsid w:val="070F07F6"/>
    <w:rsid w:val="0721282E"/>
    <w:rsid w:val="08083403"/>
    <w:rsid w:val="086B3224"/>
    <w:rsid w:val="09BE5E2A"/>
    <w:rsid w:val="09D04097"/>
    <w:rsid w:val="0A091F73"/>
    <w:rsid w:val="0A8504E9"/>
    <w:rsid w:val="0AA572D2"/>
    <w:rsid w:val="0AFF4C34"/>
    <w:rsid w:val="0B183F48"/>
    <w:rsid w:val="0B705B32"/>
    <w:rsid w:val="0B8E7D66"/>
    <w:rsid w:val="0B955598"/>
    <w:rsid w:val="0C4A6AA6"/>
    <w:rsid w:val="0C664EE3"/>
    <w:rsid w:val="0C9910B8"/>
    <w:rsid w:val="0D92619C"/>
    <w:rsid w:val="0DF540CC"/>
    <w:rsid w:val="0E4C5F96"/>
    <w:rsid w:val="0EB020D5"/>
    <w:rsid w:val="0F412CA9"/>
    <w:rsid w:val="0FBA381F"/>
    <w:rsid w:val="0FC44BCF"/>
    <w:rsid w:val="0FD566D2"/>
    <w:rsid w:val="11DF756D"/>
    <w:rsid w:val="12F47048"/>
    <w:rsid w:val="134B7033"/>
    <w:rsid w:val="13733A6E"/>
    <w:rsid w:val="13961EAE"/>
    <w:rsid w:val="13B2170D"/>
    <w:rsid w:val="13B97480"/>
    <w:rsid w:val="13DF1AA7"/>
    <w:rsid w:val="14034EB5"/>
    <w:rsid w:val="14870494"/>
    <w:rsid w:val="15085E8C"/>
    <w:rsid w:val="15174F60"/>
    <w:rsid w:val="1556095A"/>
    <w:rsid w:val="15E2587E"/>
    <w:rsid w:val="167D7F24"/>
    <w:rsid w:val="16B234A2"/>
    <w:rsid w:val="17011D34"/>
    <w:rsid w:val="1703785A"/>
    <w:rsid w:val="17306AB5"/>
    <w:rsid w:val="17373F64"/>
    <w:rsid w:val="17967879"/>
    <w:rsid w:val="197B5DCD"/>
    <w:rsid w:val="19921369"/>
    <w:rsid w:val="19A054D6"/>
    <w:rsid w:val="1A3A3FFA"/>
    <w:rsid w:val="1AA43726"/>
    <w:rsid w:val="1B0717C8"/>
    <w:rsid w:val="1B8F3DB2"/>
    <w:rsid w:val="1BD97B43"/>
    <w:rsid w:val="1BE33681"/>
    <w:rsid w:val="1C766D20"/>
    <w:rsid w:val="1D0B7468"/>
    <w:rsid w:val="1E2064AF"/>
    <w:rsid w:val="1E733517"/>
    <w:rsid w:val="20653288"/>
    <w:rsid w:val="21862EC6"/>
    <w:rsid w:val="222D7E81"/>
    <w:rsid w:val="22431452"/>
    <w:rsid w:val="237A2B2A"/>
    <w:rsid w:val="26571970"/>
    <w:rsid w:val="26B96187"/>
    <w:rsid w:val="26D23727"/>
    <w:rsid w:val="27435A51"/>
    <w:rsid w:val="29691C77"/>
    <w:rsid w:val="2B77216D"/>
    <w:rsid w:val="2C4F36F5"/>
    <w:rsid w:val="2C610E53"/>
    <w:rsid w:val="2CF62372"/>
    <w:rsid w:val="2D2C76B3"/>
    <w:rsid w:val="2D5F22BD"/>
    <w:rsid w:val="2DAF2092"/>
    <w:rsid w:val="2E2465DC"/>
    <w:rsid w:val="2E9C43C4"/>
    <w:rsid w:val="2F8A06C1"/>
    <w:rsid w:val="2FF37D11"/>
    <w:rsid w:val="3013049D"/>
    <w:rsid w:val="30E442C8"/>
    <w:rsid w:val="315471D8"/>
    <w:rsid w:val="330B1B18"/>
    <w:rsid w:val="332C3D99"/>
    <w:rsid w:val="346E6C94"/>
    <w:rsid w:val="350F6AC3"/>
    <w:rsid w:val="365875C5"/>
    <w:rsid w:val="380B6117"/>
    <w:rsid w:val="38C74168"/>
    <w:rsid w:val="39356049"/>
    <w:rsid w:val="3A8854A6"/>
    <w:rsid w:val="3ACE7FFB"/>
    <w:rsid w:val="3B4E60E4"/>
    <w:rsid w:val="3BFE2074"/>
    <w:rsid w:val="3C2974B3"/>
    <w:rsid w:val="3CCC056A"/>
    <w:rsid w:val="3DB92977"/>
    <w:rsid w:val="3E1D6BA4"/>
    <w:rsid w:val="3E530817"/>
    <w:rsid w:val="3E740EBA"/>
    <w:rsid w:val="3EA51073"/>
    <w:rsid w:val="3F8C7277"/>
    <w:rsid w:val="3FA0222F"/>
    <w:rsid w:val="408178BE"/>
    <w:rsid w:val="410761D2"/>
    <w:rsid w:val="416A2100"/>
    <w:rsid w:val="41BC1DE0"/>
    <w:rsid w:val="41EF0857"/>
    <w:rsid w:val="42D769B6"/>
    <w:rsid w:val="430B7913"/>
    <w:rsid w:val="44F600D3"/>
    <w:rsid w:val="45050ABD"/>
    <w:rsid w:val="45617704"/>
    <w:rsid w:val="460A2104"/>
    <w:rsid w:val="46B1257F"/>
    <w:rsid w:val="46D52711"/>
    <w:rsid w:val="4770243A"/>
    <w:rsid w:val="48475477"/>
    <w:rsid w:val="48B048DB"/>
    <w:rsid w:val="4907292A"/>
    <w:rsid w:val="49E36EF3"/>
    <w:rsid w:val="4AD66A58"/>
    <w:rsid w:val="4AE9678B"/>
    <w:rsid w:val="4B6B71A0"/>
    <w:rsid w:val="4B8C0594"/>
    <w:rsid w:val="4C0F7B1B"/>
    <w:rsid w:val="4CFE380A"/>
    <w:rsid w:val="4D21362C"/>
    <w:rsid w:val="4D862B8C"/>
    <w:rsid w:val="4DCB2178"/>
    <w:rsid w:val="4DD454D1"/>
    <w:rsid w:val="4DFF35F5"/>
    <w:rsid w:val="4E5C7274"/>
    <w:rsid w:val="4EB26E94"/>
    <w:rsid w:val="4EF47599"/>
    <w:rsid w:val="4F594BCD"/>
    <w:rsid w:val="4FE3578A"/>
    <w:rsid w:val="515D3A2F"/>
    <w:rsid w:val="5281374D"/>
    <w:rsid w:val="53C71634"/>
    <w:rsid w:val="54E94B5B"/>
    <w:rsid w:val="55202DAA"/>
    <w:rsid w:val="55661639"/>
    <w:rsid w:val="55761622"/>
    <w:rsid w:val="573945F7"/>
    <w:rsid w:val="57A35F14"/>
    <w:rsid w:val="58A261CC"/>
    <w:rsid w:val="590D5D3B"/>
    <w:rsid w:val="5A296BA4"/>
    <w:rsid w:val="5B264E92"/>
    <w:rsid w:val="5B3062C7"/>
    <w:rsid w:val="5B765E19"/>
    <w:rsid w:val="5BD857FA"/>
    <w:rsid w:val="5BED59B0"/>
    <w:rsid w:val="5C076A71"/>
    <w:rsid w:val="5C080481"/>
    <w:rsid w:val="5CCE758F"/>
    <w:rsid w:val="5E202145"/>
    <w:rsid w:val="5EB804F7"/>
    <w:rsid w:val="5F621BCD"/>
    <w:rsid w:val="5F9F0B0D"/>
    <w:rsid w:val="6031647B"/>
    <w:rsid w:val="605D1356"/>
    <w:rsid w:val="61596339"/>
    <w:rsid w:val="616D381B"/>
    <w:rsid w:val="61963763"/>
    <w:rsid w:val="625B7B17"/>
    <w:rsid w:val="628030DA"/>
    <w:rsid w:val="629C5FF1"/>
    <w:rsid w:val="62CC27C3"/>
    <w:rsid w:val="62F74A7A"/>
    <w:rsid w:val="6549634D"/>
    <w:rsid w:val="65BB267B"/>
    <w:rsid w:val="660B53B0"/>
    <w:rsid w:val="668E2223"/>
    <w:rsid w:val="677551D7"/>
    <w:rsid w:val="683026D9"/>
    <w:rsid w:val="689A6DDC"/>
    <w:rsid w:val="68EC771B"/>
    <w:rsid w:val="691E3EB9"/>
    <w:rsid w:val="692A0243"/>
    <w:rsid w:val="693F388B"/>
    <w:rsid w:val="696A6892"/>
    <w:rsid w:val="69B12712"/>
    <w:rsid w:val="6A290B85"/>
    <w:rsid w:val="6AC567E1"/>
    <w:rsid w:val="6AD93CCF"/>
    <w:rsid w:val="6C67530A"/>
    <w:rsid w:val="6D140FEE"/>
    <w:rsid w:val="6D602485"/>
    <w:rsid w:val="6DBA21A1"/>
    <w:rsid w:val="6F286FD3"/>
    <w:rsid w:val="7036571F"/>
    <w:rsid w:val="705C33D8"/>
    <w:rsid w:val="71CD5C10"/>
    <w:rsid w:val="71F17B50"/>
    <w:rsid w:val="73582482"/>
    <w:rsid w:val="73731F46"/>
    <w:rsid w:val="739764D5"/>
    <w:rsid w:val="74A92964"/>
    <w:rsid w:val="7576792C"/>
    <w:rsid w:val="77297D8C"/>
    <w:rsid w:val="77B533CE"/>
    <w:rsid w:val="78174088"/>
    <w:rsid w:val="78AF3D07"/>
    <w:rsid w:val="7A6B1FA0"/>
    <w:rsid w:val="7AF5051C"/>
    <w:rsid w:val="7B961080"/>
    <w:rsid w:val="7BBA680A"/>
    <w:rsid w:val="7BE826AE"/>
    <w:rsid w:val="7CCF532E"/>
    <w:rsid w:val="7D891584"/>
    <w:rsid w:val="7D9E01FF"/>
    <w:rsid w:val="7E00338F"/>
    <w:rsid w:val="7E0724A9"/>
    <w:rsid w:val="7F2F7F0A"/>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35"/>
    <w:semiHidden/>
    <w:unhideWhenUsed/>
    <w:qFormat/>
    <w:uiPriority w:val="0"/>
    <w:rPr>
      <w:sz w:val="18"/>
      <w:szCs w:val="18"/>
    </w:rPr>
  </w:style>
  <w:style w:type="paragraph" w:styleId="3">
    <w:name w:val="footer"/>
    <w:basedOn w:val="1"/>
    <w:link w:val="27"/>
    <w:qFormat/>
    <w:uiPriority w:val="99"/>
    <w:pPr>
      <w:tabs>
        <w:tab w:val="center" w:pos="4153"/>
        <w:tab w:val="right" w:pos="8306"/>
      </w:tabs>
      <w:snapToGrid w:val="0"/>
      <w:jc w:val="left"/>
    </w:pPr>
    <w:rPr>
      <w:sz w:val="18"/>
      <w:szCs w:val="18"/>
    </w:rPr>
  </w:style>
  <w:style w:type="paragraph" w:styleId="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unhideWhenUsed/>
    <w:qFormat/>
    <w:uiPriority w:val="99"/>
    <w:rPr>
      <w:color w:val="0000FF"/>
      <w:u w:val="single"/>
    </w:rPr>
  </w:style>
  <w:style w:type="paragraph" w:customStyle="1" w:styleId="10">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正文表标题"/>
    <w:next w:val="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2">
    <w:name w:val="正文图标题"/>
    <w:next w:val="10"/>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4">
    <w:name w:val="一级条标题"/>
    <w:next w:val="10"/>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章标题"/>
    <w:next w:val="10"/>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6">
    <w:name w:val="二级条标题"/>
    <w:basedOn w:val="14"/>
    <w:next w:val="10"/>
    <w:qFormat/>
    <w:uiPriority w:val="0"/>
    <w:pPr>
      <w:numPr>
        <w:ilvl w:val="2"/>
      </w:numPr>
      <w:spacing w:before="50" w:after="50"/>
      <w:outlineLvl w:val="3"/>
    </w:pPr>
  </w:style>
  <w:style w:type="paragraph" w:customStyle="1" w:styleId="17">
    <w:name w:val="三级条标题"/>
    <w:basedOn w:val="16"/>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paragraph" w:customStyle="1" w:styleId="20">
    <w:name w:val="注："/>
    <w:next w:val="10"/>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1">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2">
    <w:name w:val="附录图标题"/>
    <w:basedOn w:val="1"/>
    <w:next w:val="10"/>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3">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4">
    <w:name w:val="图表脚注说明"/>
    <w:basedOn w:val="1"/>
    <w:qFormat/>
    <w:uiPriority w:val="0"/>
    <w:pPr>
      <w:numPr>
        <w:ilvl w:val="0"/>
        <w:numId w:val="7"/>
      </w:numPr>
    </w:pPr>
    <w:rPr>
      <w:rFonts w:ascii="宋体"/>
      <w:sz w:val="18"/>
      <w:szCs w:val="18"/>
    </w:rPr>
  </w:style>
  <w:style w:type="character" w:customStyle="1" w:styleId="25">
    <w:name w:val="段 Char"/>
    <w:basedOn w:val="8"/>
    <w:link w:val="10"/>
    <w:qFormat/>
    <w:uiPriority w:val="0"/>
    <w:rPr>
      <w:rFonts w:ascii="宋体"/>
      <w:sz w:val="21"/>
      <w:lang w:val="en-US" w:eastAsia="zh-CN" w:bidi="ar-SA"/>
    </w:rPr>
  </w:style>
  <w:style w:type="character" w:customStyle="1" w:styleId="26">
    <w:name w:val="页眉 字符"/>
    <w:basedOn w:val="8"/>
    <w:link w:val="4"/>
    <w:qFormat/>
    <w:uiPriority w:val="0"/>
    <w:rPr>
      <w:kern w:val="2"/>
      <w:sz w:val="18"/>
      <w:szCs w:val="18"/>
    </w:rPr>
  </w:style>
  <w:style w:type="character" w:customStyle="1" w:styleId="27">
    <w:name w:val="页脚 字符"/>
    <w:basedOn w:val="8"/>
    <w:link w:val="3"/>
    <w:qFormat/>
    <w:uiPriority w:val="99"/>
    <w:rPr>
      <w:kern w:val="2"/>
      <w:sz w:val="18"/>
      <w:szCs w:val="18"/>
    </w:rPr>
  </w:style>
  <w:style w:type="paragraph" w:customStyle="1" w:styleId="28">
    <w:name w:val="附录表标题"/>
    <w:basedOn w:val="1"/>
    <w:next w:val="10"/>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29">
    <w:name w:val="List Paragraph"/>
    <w:basedOn w:val="1"/>
    <w:unhideWhenUsed/>
    <w:qFormat/>
    <w:uiPriority w:val="34"/>
    <w:pPr>
      <w:ind w:firstLine="420" w:firstLineChars="200"/>
    </w:pPr>
  </w:style>
  <w:style w:type="paragraph" w:customStyle="1" w:styleId="3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2">
    <w:name w:val="发布"/>
    <w:qFormat/>
    <w:uiPriority w:val="0"/>
    <w:rPr>
      <w:rFonts w:ascii="黑体" w:eastAsia="黑体"/>
      <w:spacing w:val="22"/>
      <w:w w:val="100"/>
      <w:position w:val="3"/>
      <w:sz w:val="28"/>
    </w:rPr>
  </w:style>
  <w:style w:type="paragraph" w:customStyle="1" w:styleId="33">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框文本 字符"/>
    <w:basedOn w:val="8"/>
    <w:link w:val="2"/>
    <w:semiHidden/>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18</Pages>
  <Words>6196</Words>
  <Characters>7261</Characters>
  <Lines>2</Lines>
  <Paragraphs>5</Paragraphs>
  <TotalTime>2</TotalTime>
  <ScaleCrop>false</ScaleCrop>
  <LinksUpToDate>false</LinksUpToDate>
  <CharactersWithSpaces>7325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Apple</cp:lastModifiedBy>
  <cp:lastPrinted>2019-07-10T11:21:00Z</cp:lastPrinted>
  <dcterms:modified xsi:type="dcterms:W3CDTF">2025-12-29T10:29:52Z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484DF7F1BEB842158BCD0584349217B5</vt:lpwstr>
  </property>
  <property fmtid="{D5CDD505-2E9C-101B-9397-08002B2CF9AE}" pid="4" name="KSOTemplateDocerSaveRecord">
    <vt:lpwstr>eyJoZGlkIjoiYWU5ODIyNDQzMTFlYmNiMzlhMmFkNjExNWM2YjM4YTYiLCJ1c2VySWQiOiI4Nzk5MzIyNDEifQ==</vt:lpwstr>
  </property>
</Properties>
</file>